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DB3" w:rsidRDefault="004B6DB3" w:rsidP="004B6DB3">
      <w:proofErr w:type="spellStart"/>
      <w:r>
        <w:rPr>
          <w:b/>
        </w:rPr>
        <w:t>Badge</w:t>
      </w:r>
      <w:proofErr w:type="spellEnd"/>
      <w:r>
        <w:rPr>
          <w:b/>
        </w:rPr>
        <w:t xml:space="preserve"> </w:t>
      </w:r>
      <w:proofErr w:type="spellStart"/>
      <w:r>
        <w:rPr>
          <w:b/>
        </w:rPr>
        <w:t>n</w:t>
      </w:r>
      <w:r w:rsidRPr="00E01370">
        <w:rPr>
          <w:b/>
        </w:rPr>
        <w:t>ame</w:t>
      </w:r>
      <w:proofErr w:type="spellEnd"/>
      <w:r w:rsidRPr="00E01370">
        <w:rPr>
          <w:b/>
        </w:rPr>
        <w:t>:</w:t>
      </w:r>
      <w:r>
        <w:t xml:space="preserve"> </w:t>
      </w:r>
      <w:r>
        <w:rPr>
          <w:lang w:val="en-GB"/>
        </w:rPr>
        <w:t>Digital Guidance Expert</w:t>
      </w:r>
    </w:p>
    <w:p w:rsidR="004B6DB3" w:rsidRDefault="004B6DB3" w:rsidP="004B6DB3"/>
    <w:p w:rsidR="004B6DB3" w:rsidRDefault="004B6DB3" w:rsidP="004B6DB3">
      <w:proofErr w:type="spellStart"/>
      <w:r w:rsidRPr="00E01370">
        <w:rPr>
          <w:b/>
        </w:rPr>
        <w:t>Description</w:t>
      </w:r>
      <w:proofErr w:type="spellEnd"/>
      <w:r w:rsidRPr="00E01370">
        <w:rPr>
          <w:b/>
        </w:rPr>
        <w:t>:</w:t>
      </w:r>
      <w:r>
        <w:t xml:space="preserve"> </w:t>
      </w:r>
      <w:r w:rsidRPr="00AF3CD6">
        <w:t xml:space="preserve">An </w:t>
      </w:r>
      <w:proofErr w:type="spellStart"/>
      <w:r w:rsidRPr="00AF3CD6">
        <w:t>expert</w:t>
      </w:r>
      <w:proofErr w:type="spellEnd"/>
      <w:r w:rsidRPr="00AF3CD6">
        <w:t xml:space="preserve"> in </w:t>
      </w:r>
      <w:proofErr w:type="spellStart"/>
      <w:r w:rsidRPr="00AF3CD6">
        <w:t>digital</w:t>
      </w:r>
      <w:proofErr w:type="spellEnd"/>
      <w:r w:rsidRPr="00AF3CD6">
        <w:t xml:space="preserve"> </w:t>
      </w:r>
      <w:proofErr w:type="spellStart"/>
      <w:r w:rsidRPr="00AF3CD6">
        <w:t>guidance</w:t>
      </w:r>
      <w:proofErr w:type="spellEnd"/>
      <w:r w:rsidRPr="00AF3CD6">
        <w:t xml:space="preserve"> is </w:t>
      </w:r>
      <w:proofErr w:type="spellStart"/>
      <w:r w:rsidRPr="00AF3CD6">
        <w:t>able</w:t>
      </w:r>
      <w:proofErr w:type="spellEnd"/>
      <w:r w:rsidRPr="00AF3CD6">
        <w:t xml:space="preserve"> to </w:t>
      </w:r>
      <w:proofErr w:type="spellStart"/>
      <w:r w:rsidRPr="00AF3CD6">
        <w:t>utilise</w:t>
      </w:r>
      <w:proofErr w:type="spellEnd"/>
      <w:r w:rsidRPr="00AF3CD6">
        <w:t xml:space="preserve"> </w:t>
      </w:r>
      <w:proofErr w:type="spellStart"/>
      <w:r w:rsidRPr="00AF3CD6">
        <w:t>digital</w:t>
      </w:r>
      <w:proofErr w:type="spellEnd"/>
      <w:r w:rsidRPr="00AF3CD6">
        <w:t xml:space="preserve"> </w:t>
      </w:r>
      <w:proofErr w:type="spellStart"/>
      <w:r w:rsidRPr="00AF3CD6">
        <w:t>guidance</w:t>
      </w:r>
      <w:proofErr w:type="spellEnd"/>
      <w:r w:rsidRPr="00AF3CD6">
        <w:t xml:space="preserve"> </w:t>
      </w:r>
      <w:proofErr w:type="spellStart"/>
      <w:r w:rsidRPr="00AF3CD6">
        <w:t>applications</w:t>
      </w:r>
      <w:proofErr w:type="spellEnd"/>
      <w:r w:rsidRPr="00AF3CD6">
        <w:t xml:space="preserve"> in </w:t>
      </w:r>
      <w:proofErr w:type="spellStart"/>
      <w:r w:rsidRPr="00AF3CD6">
        <w:t>the</w:t>
      </w:r>
      <w:proofErr w:type="spellEnd"/>
      <w:r w:rsidRPr="00AF3CD6">
        <w:t xml:space="preserve"> </w:t>
      </w:r>
      <w:proofErr w:type="spellStart"/>
      <w:r w:rsidRPr="00AF3CD6">
        <w:t>different</w:t>
      </w:r>
      <w:proofErr w:type="spellEnd"/>
      <w:r w:rsidRPr="00AF3CD6">
        <w:t xml:space="preserve"> </w:t>
      </w:r>
      <w:proofErr w:type="spellStart"/>
      <w:r w:rsidRPr="00AF3CD6">
        <w:t>phases</w:t>
      </w:r>
      <w:proofErr w:type="spellEnd"/>
      <w:r w:rsidRPr="00AF3CD6">
        <w:t xml:space="preserve"> of </w:t>
      </w:r>
      <w:proofErr w:type="spellStart"/>
      <w:r w:rsidRPr="00AF3CD6">
        <w:t>the</w:t>
      </w:r>
      <w:proofErr w:type="spellEnd"/>
      <w:r w:rsidRPr="00AF3CD6">
        <w:t xml:space="preserve"> Digital </w:t>
      </w:r>
      <w:proofErr w:type="spellStart"/>
      <w:r w:rsidRPr="00AF3CD6">
        <w:t>guidance</w:t>
      </w:r>
      <w:proofErr w:type="spellEnd"/>
      <w:r w:rsidRPr="00AF3CD6">
        <w:t xml:space="preserve"> </w:t>
      </w:r>
      <w:proofErr w:type="spellStart"/>
      <w:r w:rsidRPr="00AF3CD6">
        <w:t>path</w:t>
      </w:r>
      <w:proofErr w:type="spellEnd"/>
      <w:r w:rsidRPr="00AF3CD6">
        <w:t xml:space="preserve">. </w:t>
      </w:r>
      <w:proofErr w:type="spellStart"/>
      <w:r w:rsidRPr="00AF3CD6">
        <w:t>The</w:t>
      </w:r>
      <w:proofErr w:type="spellEnd"/>
      <w:r w:rsidRPr="00AF3CD6">
        <w:t xml:space="preserve"> Digital </w:t>
      </w:r>
      <w:proofErr w:type="spellStart"/>
      <w:r w:rsidRPr="00AF3CD6">
        <w:t>guidance</w:t>
      </w:r>
      <w:proofErr w:type="spellEnd"/>
      <w:r w:rsidRPr="00AF3CD6">
        <w:t xml:space="preserve"> </w:t>
      </w:r>
      <w:proofErr w:type="spellStart"/>
      <w:r w:rsidRPr="00AF3CD6">
        <w:t>path</w:t>
      </w:r>
      <w:proofErr w:type="spellEnd"/>
      <w:r w:rsidRPr="00AF3CD6">
        <w:t xml:space="preserve"> is a </w:t>
      </w:r>
      <w:proofErr w:type="spellStart"/>
      <w:r w:rsidRPr="00AF3CD6">
        <w:t>tool</w:t>
      </w:r>
      <w:proofErr w:type="spellEnd"/>
      <w:r w:rsidRPr="00AF3CD6">
        <w:t xml:space="preserve"> </w:t>
      </w:r>
      <w:proofErr w:type="spellStart"/>
      <w:r w:rsidRPr="00AF3CD6">
        <w:t>created</w:t>
      </w:r>
      <w:proofErr w:type="spellEnd"/>
      <w:r w:rsidRPr="00AF3CD6">
        <w:t xml:space="preserve"> in </w:t>
      </w:r>
      <w:proofErr w:type="spellStart"/>
      <w:r w:rsidRPr="00AF3CD6">
        <w:t>the</w:t>
      </w:r>
      <w:proofErr w:type="spellEnd"/>
      <w:r w:rsidRPr="00AF3CD6">
        <w:t xml:space="preserve"> eAMK </w:t>
      </w:r>
      <w:proofErr w:type="spellStart"/>
      <w:r w:rsidRPr="00AF3CD6">
        <w:t>project</w:t>
      </w:r>
      <w:proofErr w:type="spellEnd"/>
      <w:r w:rsidRPr="00AF3CD6">
        <w:t xml:space="preserve"> to </w:t>
      </w:r>
      <w:proofErr w:type="spellStart"/>
      <w:r w:rsidRPr="00AF3CD6">
        <w:t>support</w:t>
      </w:r>
      <w:proofErr w:type="spellEnd"/>
      <w:r w:rsidRPr="00AF3CD6">
        <w:t xml:space="preserve"> </w:t>
      </w:r>
      <w:proofErr w:type="spellStart"/>
      <w:r w:rsidRPr="00AF3CD6">
        <w:t>digital</w:t>
      </w:r>
      <w:proofErr w:type="spellEnd"/>
      <w:r w:rsidRPr="00AF3CD6">
        <w:t xml:space="preserve"> </w:t>
      </w:r>
      <w:proofErr w:type="spellStart"/>
      <w:r w:rsidRPr="00AF3CD6">
        <w:t>instructors</w:t>
      </w:r>
      <w:proofErr w:type="spellEnd"/>
      <w:r w:rsidRPr="00AF3CD6">
        <w:t>.</w:t>
      </w:r>
    </w:p>
    <w:p w:rsidR="004B6DB3" w:rsidRDefault="004B6DB3" w:rsidP="004B6DB3"/>
    <w:p w:rsidR="004B6DB3" w:rsidRDefault="004B6DB3" w:rsidP="004B6DB3">
      <w:proofErr w:type="spellStart"/>
      <w:r w:rsidRPr="00E01370">
        <w:rPr>
          <w:b/>
        </w:rPr>
        <w:t>Tags</w:t>
      </w:r>
      <w:proofErr w:type="spellEnd"/>
      <w:r>
        <w:t xml:space="preserve">: </w:t>
      </w:r>
    </w:p>
    <w:p w:rsidR="004B6DB3" w:rsidRDefault="004B6DB3" w:rsidP="004B6DB3"/>
    <w:p w:rsidR="004B6DB3" w:rsidRPr="004B6DB3" w:rsidRDefault="004B6DB3" w:rsidP="004B6DB3">
      <w:pPr>
        <w:rPr>
          <w:b/>
        </w:rPr>
      </w:pPr>
      <w:proofErr w:type="spellStart"/>
      <w:r w:rsidRPr="00E01370">
        <w:rPr>
          <w:b/>
        </w:rPr>
        <w:t>Criteria</w:t>
      </w:r>
      <w:proofErr w:type="spellEnd"/>
      <w:r w:rsidRPr="00E01370">
        <w:rPr>
          <w:b/>
        </w:rPr>
        <w:t xml:space="preserve">: </w:t>
      </w:r>
    </w:p>
    <w:p w:rsidR="004B6DB3" w:rsidRDefault="004B6DB3" w:rsidP="004B6DB3">
      <w:r>
        <w:rPr>
          <w:lang w:val="en-GB"/>
        </w:rPr>
        <w:t>Digital Guidance Expert:</w:t>
      </w:r>
    </w:p>
    <w:p w:rsidR="004B6DB3" w:rsidRDefault="004B6DB3" w:rsidP="004B6DB3">
      <w:pPr>
        <w:pStyle w:val="Luettelokappale"/>
        <w:numPr>
          <w:ilvl w:val="0"/>
          <w:numId w:val="15"/>
        </w:numPr>
      </w:pPr>
      <w:r>
        <w:rPr>
          <w:lang w:val="en-GB"/>
        </w:rPr>
        <w:t xml:space="preserve">is familiar with the Digital guidance path produced in eAMK as well as the </w:t>
      </w:r>
      <w:proofErr w:type="spellStart"/>
      <w:r>
        <w:rPr>
          <w:lang w:val="en-GB"/>
        </w:rPr>
        <w:t>CampusOnline</w:t>
      </w:r>
      <w:proofErr w:type="spellEnd"/>
      <w:r>
        <w:rPr>
          <w:lang w:val="en-GB"/>
        </w:rPr>
        <w:t xml:space="preserve"> service and its operating practices</w:t>
      </w:r>
    </w:p>
    <w:p w:rsidR="004B6DB3" w:rsidRDefault="004B6DB3" w:rsidP="004B6DB3">
      <w:pPr>
        <w:pStyle w:val="Luettelokappale"/>
        <w:numPr>
          <w:ilvl w:val="0"/>
          <w:numId w:val="15"/>
        </w:numPr>
      </w:pPr>
      <w:r>
        <w:rPr>
          <w:lang w:val="en-GB"/>
        </w:rPr>
        <w:t>can use digital guidance methods so that the general principles of an accessible guidance service are realised</w:t>
      </w:r>
    </w:p>
    <w:p w:rsidR="004B6DB3" w:rsidRDefault="004B6DB3" w:rsidP="004B6DB3">
      <w:pPr>
        <w:pStyle w:val="Luettelokappale"/>
        <w:numPr>
          <w:ilvl w:val="0"/>
          <w:numId w:val="15"/>
        </w:numPr>
      </w:pPr>
      <w:r>
        <w:rPr>
          <w:lang w:val="en-GB"/>
        </w:rPr>
        <w:t>has tested the digital guidance applications at different stages of the Digital guidance path (at least two different stages) and can apply them meaningfully in their guidance and advice work</w:t>
      </w:r>
    </w:p>
    <w:p w:rsidR="004B6DB3" w:rsidRDefault="004B6DB3" w:rsidP="004B6DB3">
      <w:pPr>
        <w:pStyle w:val="Luettelokappale"/>
        <w:numPr>
          <w:ilvl w:val="0"/>
          <w:numId w:val="15"/>
        </w:numPr>
      </w:pPr>
      <w:r>
        <w:rPr>
          <w:lang w:val="en-GB"/>
        </w:rPr>
        <w:t xml:space="preserve">uses the </w:t>
      </w:r>
      <w:proofErr w:type="spellStart"/>
      <w:r>
        <w:rPr>
          <w:lang w:val="en-GB"/>
        </w:rPr>
        <w:t>CampusOnline</w:t>
      </w:r>
      <w:proofErr w:type="spellEnd"/>
      <w:r>
        <w:rPr>
          <w:lang w:val="en-GB"/>
        </w:rPr>
        <w:t xml:space="preserve"> offering in building a student’s study path</w:t>
      </w:r>
    </w:p>
    <w:p w:rsidR="004B6DB3" w:rsidRDefault="004B6DB3" w:rsidP="004B6DB3">
      <w:pPr>
        <w:pStyle w:val="Luettelokappale"/>
        <w:numPr>
          <w:ilvl w:val="0"/>
          <w:numId w:val="15"/>
        </w:numPr>
      </w:pPr>
      <w:r>
        <w:rPr>
          <w:lang w:val="en-GB"/>
        </w:rPr>
        <w:t>can assess the usability of digital guidance applications in their own guidance work</w:t>
      </w:r>
    </w:p>
    <w:p w:rsidR="004B6DB3" w:rsidRDefault="004B6DB3" w:rsidP="004B6DB3">
      <w:pPr>
        <w:pStyle w:val="Luettelokappale"/>
        <w:numPr>
          <w:ilvl w:val="0"/>
          <w:numId w:val="15"/>
        </w:numPr>
      </w:pPr>
      <w:r>
        <w:rPr>
          <w:lang w:val="en-GB"/>
        </w:rPr>
        <w:t>understands the possibilities of learning analytics in guidance and monitoring the progress of students and knows how to use learning analytics in their work</w:t>
      </w:r>
    </w:p>
    <w:p w:rsidR="004B6DB3" w:rsidRDefault="004B6DB3" w:rsidP="004B6DB3"/>
    <w:p w:rsidR="004B6DB3" w:rsidRDefault="004B6DB3" w:rsidP="004B6DB3">
      <w:r>
        <w:rPr>
          <w:lang w:val="en-GB"/>
        </w:rPr>
        <w:t>Learn more about the Digital guidance path</w:t>
      </w:r>
    </w:p>
    <w:p w:rsidR="004B6DB3" w:rsidRDefault="004B6DB3" w:rsidP="004B6DB3"/>
    <w:p w:rsidR="004B6DB3" w:rsidRPr="004B6DB3" w:rsidRDefault="004B6DB3" w:rsidP="004B6DB3">
      <w:pPr>
        <w:rPr>
          <w:b/>
        </w:rPr>
      </w:pPr>
      <w:r w:rsidRPr="004B6DB3">
        <w:rPr>
          <w:b/>
          <w:lang w:val="en-GB"/>
        </w:rPr>
        <w:t>Demonstrate your digital guidance competence!</w:t>
      </w:r>
    </w:p>
    <w:p w:rsidR="004B6DB3" w:rsidRDefault="004B6DB3" w:rsidP="004B6DB3">
      <w:r>
        <w:rPr>
          <w:lang w:val="en-GB"/>
        </w:rPr>
        <w:t>Carry out a self-assessment, in which you demonstrate your skills in accordance with the criteria of the Digital Guidance Expert badge. In your work, present at least one realised guidance case and your own assessment on the success and development targets of digital guidance.</w:t>
      </w:r>
    </w:p>
    <w:p w:rsidR="004B6DB3" w:rsidRDefault="004B6DB3" w:rsidP="004B6DB3"/>
    <w:p w:rsidR="004B6DB3" w:rsidRDefault="004B6DB3" w:rsidP="004B6DB3">
      <w:r>
        <w:rPr>
          <w:lang w:val="en-GB"/>
        </w:rPr>
        <w:t>You can choose the format of the output yourself; for instance, it can be a text document, a video or a combination of several different forms of media.</w:t>
      </w:r>
    </w:p>
    <w:p w:rsidR="004B6DB3" w:rsidRDefault="004B6DB3" w:rsidP="004B6DB3"/>
    <w:p w:rsidR="004B6DB3" w:rsidRDefault="004B6DB3" w:rsidP="004B6DB3">
      <w:proofErr w:type="spellStart"/>
      <w:r>
        <w:t>Name</w:t>
      </w:r>
      <w:proofErr w:type="spellEnd"/>
      <w:r>
        <w:t>:</w:t>
      </w:r>
    </w:p>
    <w:p w:rsidR="004B6DB3" w:rsidRDefault="004B6DB3" w:rsidP="004B6DB3">
      <w:proofErr w:type="spellStart"/>
      <w:r>
        <w:t>Email</w:t>
      </w:r>
      <w:proofErr w:type="spellEnd"/>
      <w:r>
        <w:t>:</w:t>
      </w:r>
    </w:p>
    <w:p w:rsidR="004B6DB3" w:rsidRDefault="004B6DB3" w:rsidP="004B6DB3">
      <w:proofErr w:type="spellStart"/>
      <w:r>
        <w:t>University</w:t>
      </w:r>
      <w:proofErr w:type="spellEnd"/>
      <w:r>
        <w:t xml:space="preserve"> of </w:t>
      </w:r>
      <w:proofErr w:type="spellStart"/>
      <w:r>
        <w:t>Applied</w:t>
      </w:r>
      <w:proofErr w:type="spellEnd"/>
      <w:r>
        <w:t xml:space="preserve"> Sciences:</w:t>
      </w:r>
    </w:p>
    <w:p w:rsidR="004B6DB3" w:rsidRDefault="004B6DB3" w:rsidP="004B6DB3"/>
    <w:p w:rsidR="004B6DB3" w:rsidRDefault="004B6DB3" w:rsidP="004B6DB3">
      <w:r>
        <w:rPr>
          <w:lang w:val="en-GB"/>
        </w:rPr>
        <w:t>Option 1: Digital guidance self-assessment as a file</w:t>
      </w:r>
    </w:p>
    <w:p w:rsidR="00DB7134" w:rsidRDefault="004B6DB3" w:rsidP="004B6DB3">
      <w:pPr>
        <w:rPr>
          <w:lang w:val="en-GB"/>
        </w:rPr>
      </w:pPr>
      <w:r>
        <w:rPr>
          <w:lang w:val="en-GB"/>
        </w:rPr>
        <w:t>Option 2: Link to the digital guidance self-assessment material</w:t>
      </w:r>
    </w:p>
    <w:p w:rsidR="009C27D6" w:rsidRDefault="009C27D6" w:rsidP="004B6DB3"/>
    <w:p w:rsidR="009C27D6" w:rsidRPr="009C27D6" w:rsidRDefault="009C27D6" w:rsidP="009C27D6">
      <w:pPr>
        <w:rPr>
          <w:b/>
        </w:rPr>
      </w:pPr>
      <w:r w:rsidRPr="009C27D6">
        <w:rPr>
          <w:b/>
          <w:lang w:val="en-GB"/>
        </w:rPr>
        <w:t>Instructions for issuers:</w:t>
      </w:r>
    </w:p>
    <w:p w:rsidR="009C27D6" w:rsidRDefault="009C27D6" w:rsidP="009C27D6">
      <w:r>
        <w:rPr>
          <w:lang w:val="en-GB"/>
        </w:rPr>
        <w:t>Two assessors from universities of applied sciences different from that of the applicant. When the assessment is complete, the issuance can be carried out by one of the issuers.</w:t>
      </w:r>
    </w:p>
    <w:p w:rsidR="009C27D6" w:rsidRPr="00056E5C" w:rsidRDefault="009C27D6" w:rsidP="009C27D6"/>
    <w:p w:rsidR="009C27D6" w:rsidRPr="009C27D6" w:rsidRDefault="009C27D6" w:rsidP="009C27D6">
      <w:pPr>
        <w:rPr>
          <w:b/>
        </w:rPr>
      </w:pPr>
      <w:r w:rsidRPr="009C27D6">
        <w:rPr>
          <w:b/>
          <w:lang w:val="en-GB"/>
        </w:rPr>
        <w:t>Application approval message</w:t>
      </w:r>
    </w:p>
    <w:p w:rsidR="009C27D6" w:rsidRDefault="009C27D6" w:rsidP="009C27D6">
      <w:r w:rsidRPr="009C27D6">
        <w:rPr>
          <w:b/>
          <w:lang w:val="en-GB"/>
        </w:rPr>
        <w:t>Title:</w:t>
      </w:r>
      <w:r>
        <w:rPr>
          <w:lang w:val="en-GB"/>
        </w:rPr>
        <w:t xml:space="preserve"> Expert in Digital Guidance</w:t>
      </w:r>
    </w:p>
    <w:p w:rsidR="009C27D6" w:rsidRDefault="009C27D6" w:rsidP="009C27D6">
      <w:r w:rsidRPr="009C27D6">
        <w:rPr>
          <w:b/>
          <w:lang w:val="en-GB"/>
        </w:rPr>
        <w:t>Message content:</w:t>
      </w:r>
      <w:r>
        <w:rPr>
          <w:lang w:val="en-GB"/>
        </w:rPr>
        <w:t xml:space="preserve"> Congratulations, you have been issued with the eAMK Expert in Digital Guidance badge.</w:t>
      </w:r>
    </w:p>
    <w:p w:rsidR="009C27D6" w:rsidRDefault="009C27D6" w:rsidP="009C27D6">
      <w:r w:rsidRPr="009C27D6">
        <w:rPr>
          <w:b/>
          <w:lang w:val="en-GB"/>
        </w:rPr>
        <w:lastRenderedPageBreak/>
        <w:t>Button text:</w:t>
      </w:r>
      <w:r>
        <w:rPr>
          <w:lang w:val="en-GB"/>
        </w:rPr>
        <w:t xml:space="preserve"> Receive the Expert in Digital Guidance badge</w:t>
      </w:r>
    </w:p>
    <w:p w:rsidR="009C27D6" w:rsidRDefault="009C27D6" w:rsidP="009C27D6">
      <w:r w:rsidRPr="009C27D6">
        <w:rPr>
          <w:b/>
          <w:lang w:val="en-GB"/>
        </w:rPr>
        <w:t>Message footer:</w:t>
      </w:r>
      <w:r>
        <w:rPr>
          <w:lang w:val="en-GB"/>
        </w:rPr>
        <w:t xml:space="preserve"> The Expert in Digital Guidance badge is an Open Badge. You can save it in the Open Badge Passport at https://openbadgepassport.com/ or Mozilla Backpack at https://backpack.openbadges.org. You can publish Open Badges in portfolio applications and in the LinkedIn service. </w:t>
      </w:r>
      <w:bookmarkStart w:id="0" w:name="_GoBack"/>
      <w:bookmarkEnd w:id="0"/>
    </w:p>
    <w:p w:rsidR="009C27D6" w:rsidRDefault="009C27D6" w:rsidP="009C27D6"/>
    <w:p w:rsidR="009C27D6" w:rsidRDefault="009C27D6" w:rsidP="009C27D6">
      <w:r>
        <w:rPr>
          <w:lang w:val="en-GB"/>
        </w:rPr>
        <w:t>Best regards,</w:t>
      </w:r>
    </w:p>
    <w:p w:rsidR="009C27D6" w:rsidRDefault="009C27D6" w:rsidP="009C27D6">
      <w:r>
        <w:rPr>
          <w:lang w:val="en-GB"/>
        </w:rPr>
        <w:t>The Expert in Digital Guidance badge assessment team</w:t>
      </w:r>
    </w:p>
    <w:p w:rsidR="009C27D6" w:rsidRPr="004B6DB3" w:rsidRDefault="009C27D6" w:rsidP="004B6DB3"/>
    <w:sectPr w:rsidR="009C27D6" w:rsidRPr="004B6DB3" w:rsidSect="0073548F">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370"/>
    <w:multiLevelType w:val="multilevel"/>
    <w:tmpl w:val="7234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D2FAF"/>
    <w:multiLevelType w:val="hybridMultilevel"/>
    <w:tmpl w:val="F49E1B44"/>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6C6444"/>
    <w:multiLevelType w:val="hybridMultilevel"/>
    <w:tmpl w:val="502277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1F64375"/>
    <w:multiLevelType w:val="hybridMultilevel"/>
    <w:tmpl w:val="91CCAD34"/>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7055E63"/>
    <w:multiLevelType w:val="hybridMultilevel"/>
    <w:tmpl w:val="752CA664"/>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2C338AA"/>
    <w:multiLevelType w:val="hybridMultilevel"/>
    <w:tmpl w:val="C36809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E2B5A4E"/>
    <w:multiLevelType w:val="hybridMultilevel"/>
    <w:tmpl w:val="5BA2EE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6D5463A"/>
    <w:multiLevelType w:val="hybridMultilevel"/>
    <w:tmpl w:val="9D60DDF6"/>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AA21964"/>
    <w:multiLevelType w:val="hybridMultilevel"/>
    <w:tmpl w:val="903E2F92"/>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589503A"/>
    <w:multiLevelType w:val="hybridMultilevel"/>
    <w:tmpl w:val="1E3C53DC"/>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80C4836"/>
    <w:multiLevelType w:val="hybridMultilevel"/>
    <w:tmpl w:val="0B6EF282"/>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A47521D"/>
    <w:multiLevelType w:val="hybridMultilevel"/>
    <w:tmpl w:val="B408481E"/>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E9D1507"/>
    <w:multiLevelType w:val="hybridMultilevel"/>
    <w:tmpl w:val="C36809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F91667E"/>
    <w:multiLevelType w:val="hybridMultilevel"/>
    <w:tmpl w:val="586A4830"/>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1F77131"/>
    <w:multiLevelType w:val="hybridMultilevel"/>
    <w:tmpl w:val="8AA42748"/>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5EE7A7D"/>
    <w:multiLevelType w:val="hybridMultilevel"/>
    <w:tmpl w:val="9B080C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8"/>
  </w:num>
  <w:num w:numId="5">
    <w:abstractNumId w:val="1"/>
  </w:num>
  <w:num w:numId="6">
    <w:abstractNumId w:val="7"/>
  </w:num>
  <w:num w:numId="7">
    <w:abstractNumId w:val="2"/>
  </w:num>
  <w:num w:numId="8">
    <w:abstractNumId w:val="9"/>
  </w:num>
  <w:num w:numId="9">
    <w:abstractNumId w:val="14"/>
  </w:num>
  <w:num w:numId="10">
    <w:abstractNumId w:val="12"/>
  </w:num>
  <w:num w:numId="11">
    <w:abstractNumId w:val="5"/>
  </w:num>
  <w:num w:numId="12">
    <w:abstractNumId w:val="11"/>
  </w:num>
  <w:num w:numId="13">
    <w:abstractNumId w:val="3"/>
  </w:num>
  <w:num w:numId="14">
    <w:abstractNumId w:val="1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C6"/>
    <w:rsid w:val="00091FE7"/>
    <w:rsid w:val="00102110"/>
    <w:rsid w:val="001A0F74"/>
    <w:rsid w:val="002C767A"/>
    <w:rsid w:val="00354E7E"/>
    <w:rsid w:val="00365F0D"/>
    <w:rsid w:val="004B6DB3"/>
    <w:rsid w:val="005C2DF1"/>
    <w:rsid w:val="00727E98"/>
    <w:rsid w:val="0073548F"/>
    <w:rsid w:val="007C2176"/>
    <w:rsid w:val="007F4F76"/>
    <w:rsid w:val="009C27D6"/>
    <w:rsid w:val="009C2DBF"/>
    <w:rsid w:val="00AC5F32"/>
    <w:rsid w:val="00AF3CD6"/>
    <w:rsid w:val="00B412C6"/>
    <w:rsid w:val="00B62CF7"/>
    <w:rsid w:val="00DB7134"/>
    <w:rsid w:val="00E013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BFBEF6D"/>
  <w14:defaultImageDpi w14:val="32767"/>
  <w15:chartTrackingRefBased/>
  <w15:docId w15:val="{DC21927F-82F1-EA45-8816-B229F9F5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412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412C6"/>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E01370"/>
    <w:pPr>
      <w:ind w:left="720"/>
      <w:contextualSpacing/>
    </w:pPr>
  </w:style>
  <w:style w:type="character" w:styleId="Hyperlinkki">
    <w:name w:val="Hyperlink"/>
    <w:basedOn w:val="Kappaleenoletusfontti"/>
    <w:uiPriority w:val="99"/>
    <w:unhideWhenUsed/>
    <w:rsid w:val="00DB7134"/>
    <w:rPr>
      <w:color w:val="0563C1" w:themeColor="hyperlink"/>
      <w:u w:val="single"/>
    </w:rPr>
  </w:style>
  <w:style w:type="character" w:styleId="Ratkaisematonmaininta">
    <w:name w:val="Unresolved Mention"/>
    <w:basedOn w:val="Kappaleenoletusfontti"/>
    <w:uiPriority w:val="99"/>
    <w:rsid w:val="00DB7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32652">
      <w:bodyDiv w:val="1"/>
      <w:marLeft w:val="0"/>
      <w:marRight w:val="0"/>
      <w:marTop w:val="0"/>
      <w:marBottom w:val="0"/>
      <w:divBdr>
        <w:top w:val="none" w:sz="0" w:space="0" w:color="auto"/>
        <w:left w:val="none" w:sz="0" w:space="0" w:color="auto"/>
        <w:bottom w:val="none" w:sz="0" w:space="0" w:color="auto"/>
        <w:right w:val="none" w:sz="0" w:space="0" w:color="auto"/>
      </w:divBdr>
    </w:div>
    <w:div w:id="250504674">
      <w:bodyDiv w:val="1"/>
      <w:marLeft w:val="0"/>
      <w:marRight w:val="0"/>
      <w:marTop w:val="0"/>
      <w:marBottom w:val="0"/>
      <w:divBdr>
        <w:top w:val="none" w:sz="0" w:space="0" w:color="auto"/>
        <w:left w:val="none" w:sz="0" w:space="0" w:color="auto"/>
        <w:bottom w:val="none" w:sz="0" w:space="0" w:color="auto"/>
        <w:right w:val="none" w:sz="0" w:space="0" w:color="auto"/>
      </w:divBdr>
    </w:div>
    <w:div w:id="481898257">
      <w:bodyDiv w:val="1"/>
      <w:marLeft w:val="0"/>
      <w:marRight w:val="0"/>
      <w:marTop w:val="0"/>
      <w:marBottom w:val="0"/>
      <w:divBdr>
        <w:top w:val="none" w:sz="0" w:space="0" w:color="auto"/>
        <w:left w:val="none" w:sz="0" w:space="0" w:color="auto"/>
        <w:bottom w:val="none" w:sz="0" w:space="0" w:color="auto"/>
        <w:right w:val="none" w:sz="0" w:space="0" w:color="auto"/>
      </w:divBdr>
      <w:divsChild>
        <w:div w:id="605772847">
          <w:marLeft w:val="-225"/>
          <w:marRight w:val="-225"/>
          <w:marTop w:val="0"/>
          <w:marBottom w:val="225"/>
          <w:divBdr>
            <w:top w:val="none" w:sz="0" w:space="0" w:color="auto"/>
            <w:left w:val="none" w:sz="0" w:space="0" w:color="auto"/>
            <w:bottom w:val="none" w:sz="0" w:space="0" w:color="auto"/>
            <w:right w:val="none" w:sz="0" w:space="0" w:color="auto"/>
          </w:divBdr>
        </w:div>
        <w:div w:id="638457171">
          <w:marLeft w:val="-225"/>
          <w:marRight w:val="-225"/>
          <w:marTop w:val="0"/>
          <w:marBottom w:val="225"/>
          <w:divBdr>
            <w:top w:val="none" w:sz="0" w:space="0" w:color="auto"/>
            <w:left w:val="none" w:sz="0" w:space="0" w:color="auto"/>
            <w:bottom w:val="none" w:sz="0" w:space="0" w:color="auto"/>
            <w:right w:val="none" w:sz="0" w:space="0" w:color="auto"/>
          </w:divBdr>
        </w:div>
      </w:divsChild>
    </w:div>
    <w:div w:id="630749623">
      <w:bodyDiv w:val="1"/>
      <w:marLeft w:val="0"/>
      <w:marRight w:val="0"/>
      <w:marTop w:val="0"/>
      <w:marBottom w:val="0"/>
      <w:divBdr>
        <w:top w:val="none" w:sz="0" w:space="0" w:color="auto"/>
        <w:left w:val="none" w:sz="0" w:space="0" w:color="auto"/>
        <w:bottom w:val="none" w:sz="0" w:space="0" w:color="auto"/>
        <w:right w:val="none" w:sz="0" w:space="0" w:color="auto"/>
      </w:divBdr>
      <w:divsChild>
        <w:div w:id="103811168">
          <w:marLeft w:val="-225"/>
          <w:marRight w:val="-225"/>
          <w:marTop w:val="0"/>
          <w:marBottom w:val="225"/>
          <w:divBdr>
            <w:top w:val="none" w:sz="0" w:space="0" w:color="auto"/>
            <w:left w:val="none" w:sz="0" w:space="0" w:color="auto"/>
            <w:bottom w:val="none" w:sz="0" w:space="0" w:color="auto"/>
            <w:right w:val="none" w:sz="0" w:space="0" w:color="auto"/>
          </w:divBdr>
        </w:div>
        <w:div w:id="1383627645">
          <w:marLeft w:val="-225"/>
          <w:marRight w:val="-225"/>
          <w:marTop w:val="0"/>
          <w:marBottom w:val="225"/>
          <w:divBdr>
            <w:top w:val="none" w:sz="0" w:space="0" w:color="auto"/>
            <w:left w:val="none" w:sz="0" w:space="0" w:color="auto"/>
            <w:bottom w:val="none" w:sz="0" w:space="0" w:color="auto"/>
            <w:right w:val="none" w:sz="0" w:space="0" w:color="auto"/>
          </w:divBdr>
        </w:div>
      </w:divsChild>
    </w:div>
    <w:div w:id="634529767">
      <w:bodyDiv w:val="1"/>
      <w:marLeft w:val="0"/>
      <w:marRight w:val="0"/>
      <w:marTop w:val="0"/>
      <w:marBottom w:val="0"/>
      <w:divBdr>
        <w:top w:val="none" w:sz="0" w:space="0" w:color="auto"/>
        <w:left w:val="none" w:sz="0" w:space="0" w:color="auto"/>
        <w:bottom w:val="none" w:sz="0" w:space="0" w:color="auto"/>
        <w:right w:val="none" w:sz="0" w:space="0" w:color="auto"/>
      </w:divBdr>
    </w:div>
    <w:div w:id="766737031">
      <w:bodyDiv w:val="1"/>
      <w:marLeft w:val="0"/>
      <w:marRight w:val="0"/>
      <w:marTop w:val="0"/>
      <w:marBottom w:val="0"/>
      <w:divBdr>
        <w:top w:val="none" w:sz="0" w:space="0" w:color="auto"/>
        <w:left w:val="none" w:sz="0" w:space="0" w:color="auto"/>
        <w:bottom w:val="none" w:sz="0" w:space="0" w:color="auto"/>
        <w:right w:val="none" w:sz="0" w:space="0" w:color="auto"/>
      </w:divBdr>
    </w:div>
    <w:div w:id="821389542">
      <w:bodyDiv w:val="1"/>
      <w:marLeft w:val="0"/>
      <w:marRight w:val="0"/>
      <w:marTop w:val="0"/>
      <w:marBottom w:val="0"/>
      <w:divBdr>
        <w:top w:val="none" w:sz="0" w:space="0" w:color="auto"/>
        <w:left w:val="none" w:sz="0" w:space="0" w:color="auto"/>
        <w:bottom w:val="none" w:sz="0" w:space="0" w:color="auto"/>
        <w:right w:val="none" w:sz="0" w:space="0" w:color="auto"/>
      </w:divBdr>
      <w:divsChild>
        <w:div w:id="2076780598">
          <w:marLeft w:val="-225"/>
          <w:marRight w:val="-225"/>
          <w:marTop w:val="300"/>
          <w:marBottom w:val="0"/>
          <w:divBdr>
            <w:top w:val="none" w:sz="0" w:space="0" w:color="auto"/>
            <w:left w:val="none" w:sz="0" w:space="0" w:color="auto"/>
            <w:bottom w:val="none" w:sz="0" w:space="0" w:color="auto"/>
            <w:right w:val="none" w:sz="0" w:space="0" w:color="auto"/>
          </w:divBdr>
          <w:divsChild>
            <w:div w:id="503475404">
              <w:marLeft w:val="0"/>
              <w:marRight w:val="0"/>
              <w:marTop w:val="0"/>
              <w:marBottom w:val="0"/>
              <w:divBdr>
                <w:top w:val="none" w:sz="0" w:space="0" w:color="auto"/>
                <w:left w:val="none" w:sz="0" w:space="0" w:color="auto"/>
                <w:bottom w:val="none" w:sz="0" w:space="0" w:color="auto"/>
                <w:right w:val="none" w:sz="0" w:space="0" w:color="auto"/>
              </w:divBdr>
            </w:div>
          </w:divsChild>
        </w:div>
        <w:div w:id="2074959738">
          <w:marLeft w:val="-225"/>
          <w:marRight w:val="-225"/>
          <w:marTop w:val="300"/>
          <w:marBottom w:val="0"/>
          <w:divBdr>
            <w:top w:val="none" w:sz="0" w:space="0" w:color="auto"/>
            <w:left w:val="none" w:sz="0" w:space="0" w:color="auto"/>
            <w:bottom w:val="none" w:sz="0" w:space="0" w:color="auto"/>
            <w:right w:val="none" w:sz="0" w:space="0" w:color="auto"/>
          </w:divBdr>
          <w:divsChild>
            <w:div w:id="135728909">
              <w:marLeft w:val="0"/>
              <w:marRight w:val="0"/>
              <w:marTop w:val="0"/>
              <w:marBottom w:val="0"/>
              <w:divBdr>
                <w:top w:val="none" w:sz="0" w:space="0" w:color="auto"/>
                <w:left w:val="none" w:sz="0" w:space="0" w:color="auto"/>
                <w:bottom w:val="none" w:sz="0" w:space="0" w:color="auto"/>
                <w:right w:val="none" w:sz="0" w:space="0" w:color="auto"/>
              </w:divBdr>
              <w:divsChild>
                <w:div w:id="8890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849">
          <w:marLeft w:val="-225"/>
          <w:marRight w:val="-225"/>
          <w:marTop w:val="600"/>
          <w:marBottom w:val="0"/>
          <w:divBdr>
            <w:top w:val="none" w:sz="0" w:space="0" w:color="auto"/>
            <w:left w:val="none" w:sz="0" w:space="0" w:color="auto"/>
            <w:bottom w:val="none" w:sz="0" w:space="0" w:color="auto"/>
            <w:right w:val="none" w:sz="0" w:space="0" w:color="auto"/>
          </w:divBdr>
          <w:divsChild>
            <w:div w:id="401220267">
              <w:marLeft w:val="0"/>
              <w:marRight w:val="0"/>
              <w:marTop w:val="0"/>
              <w:marBottom w:val="0"/>
              <w:divBdr>
                <w:top w:val="none" w:sz="0" w:space="0" w:color="auto"/>
                <w:left w:val="none" w:sz="0" w:space="0" w:color="auto"/>
                <w:bottom w:val="none" w:sz="0" w:space="0" w:color="auto"/>
                <w:right w:val="none" w:sz="0" w:space="0" w:color="auto"/>
              </w:divBdr>
              <w:divsChild>
                <w:div w:id="15429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2256</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Rika Nakamura</dc:creator>
  <cp:keywords/>
  <dc:description/>
  <cp:lastModifiedBy>Nakamura Rika</cp:lastModifiedBy>
  <cp:revision>3</cp:revision>
  <dcterms:created xsi:type="dcterms:W3CDTF">2020-03-20T09:30:00Z</dcterms:created>
  <dcterms:modified xsi:type="dcterms:W3CDTF">2020-04-07T12:44:00Z</dcterms:modified>
</cp:coreProperties>
</file>