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D3" w:rsidRPr="002B07D3" w:rsidRDefault="002B07D3" w:rsidP="002B07D3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b/>
          <w:sz w:val="48"/>
          <w:szCs w:val="48"/>
          <w:lang w:val="en-US" w:eastAsia="fi-FI"/>
        </w:rPr>
      </w:pPr>
      <w:r w:rsidRPr="002B07D3">
        <w:rPr>
          <w:rFonts w:eastAsia="Times New Roman" w:cstheme="minorHAnsi"/>
          <w:b/>
          <w:sz w:val="48"/>
          <w:szCs w:val="48"/>
          <w:lang w:val="en-US" w:eastAsia="fi-FI"/>
        </w:rPr>
        <w:t xml:space="preserve">Digital pedagogy training </w:t>
      </w:r>
      <w:proofErr w:type="spellStart"/>
      <w:r w:rsidRPr="002B07D3">
        <w:rPr>
          <w:rFonts w:eastAsia="Times New Roman" w:cstheme="minorHAnsi"/>
          <w:b/>
          <w:sz w:val="48"/>
          <w:szCs w:val="48"/>
          <w:lang w:val="en-US" w:eastAsia="fi-FI"/>
        </w:rPr>
        <w:t>programme</w:t>
      </w:r>
      <w:proofErr w:type="spellEnd"/>
    </w:p>
    <w:p w:rsidR="002B07D3" w:rsidRPr="002B07D3" w:rsidRDefault="002B07D3" w:rsidP="002B07D3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sz w:val="40"/>
          <w:szCs w:val="40"/>
          <w:lang w:val="en-US" w:eastAsia="fi-FI"/>
        </w:rPr>
      </w:pPr>
      <w:r w:rsidRPr="002B07D3">
        <w:rPr>
          <w:rFonts w:eastAsia="Times New Roman" w:cstheme="minorHAnsi"/>
          <w:sz w:val="40"/>
          <w:szCs w:val="40"/>
          <w:lang w:val="en-US" w:eastAsia="fi-FI"/>
        </w:rPr>
        <w:t xml:space="preserve">Objective of the training </w:t>
      </w:r>
      <w:proofErr w:type="spellStart"/>
      <w:r w:rsidRPr="002B07D3">
        <w:rPr>
          <w:rFonts w:eastAsia="Times New Roman" w:cstheme="minorHAnsi"/>
          <w:sz w:val="40"/>
          <w:szCs w:val="40"/>
          <w:lang w:val="en-US" w:eastAsia="fi-FI"/>
        </w:rPr>
        <w:t>programme</w:t>
      </w:r>
      <w:proofErr w:type="spellEnd"/>
    </w:p>
    <w:p w:rsidR="002B07D3" w:rsidRPr="002B07D3" w:rsidRDefault="002B07D3" w:rsidP="002B07D3">
      <w:pPr>
        <w:shd w:val="clear" w:color="auto" w:fill="FFFFFF"/>
        <w:spacing w:after="375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The objective of the training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programme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was to develop an existing or produce a new online implementation to </w:t>
      </w:r>
      <w:proofErr w:type="gramStart"/>
      <w:r w:rsidRPr="002B07D3">
        <w:rPr>
          <w:rFonts w:eastAsia="Times New Roman" w:cstheme="minorHAnsi"/>
          <w:sz w:val="24"/>
          <w:szCs w:val="24"/>
          <w:lang w:val="en-US" w:eastAsia="fi-FI"/>
        </w:rPr>
        <w:t>be offered</w:t>
      </w:r>
      <w:proofErr w:type="gram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in the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CampusOnline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portal. </w:t>
      </w:r>
      <w:r>
        <w:rPr>
          <w:rFonts w:eastAsia="Times New Roman" w:cstheme="minorHAnsi"/>
          <w:sz w:val="24"/>
          <w:szCs w:val="24"/>
          <w:lang w:val="en-US" w:eastAsia="fi-FI"/>
        </w:rPr>
        <w:t>C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ontent of the training have also been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utilised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in the internal training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programmes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of the universities of applied sciences. The training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programme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presented on this page is a summary of the training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programmes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carried out, the structure can be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utilised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by universities of applied sciences in the planning and implementation of their own digital pedagogy training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programmes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2B07D3" w:rsidRPr="002B07D3" w:rsidRDefault="002B07D3" w:rsidP="002B07D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>The driving idea in the training is the </w:t>
      </w:r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quality criteria for online implementations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 developed as part of the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eAMK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project and their practical implementation. </w:t>
      </w:r>
    </w:p>
    <w:p w:rsidR="002B07D3" w:rsidRPr="002B07D3" w:rsidRDefault="002B07D3" w:rsidP="002B07D3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sz w:val="40"/>
          <w:szCs w:val="40"/>
          <w:lang w:val="en-US" w:eastAsia="fi-FI"/>
        </w:rPr>
      </w:pPr>
      <w:r w:rsidRPr="002B07D3">
        <w:rPr>
          <w:rFonts w:eastAsia="Times New Roman" w:cstheme="minorHAnsi"/>
          <w:sz w:val="40"/>
          <w:szCs w:val="40"/>
          <w:lang w:val="en-US" w:eastAsia="fi-FI"/>
        </w:rPr>
        <w:t xml:space="preserve">Structure of the training </w:t>
      </w:r>
      <w:proofErr w:type="spellStart"/>
      <w:r w:rsidRPr="002B07D3">
        <w:rPr>
          <w:rFonts w:eastAsia="Times New Roman" w:cstheme="minorHAnsi"/>
          <w:sz w:val="40"/>
          <w:szCs w:val="40"/>
          <w:lang w:val="en-US" w:eastAsia="fi-FI"/>
        </w:rPr>
        <w:t>programme</w:t>
      </w:r>
      <w:proofErr w:type="spellEnd"/>
    </w:p>
    <w:p w:rsidR="002B07D3" w:rsidRPr="002B07D3" w:rsidRDefault="002B07D3" w:rsidP="002B07D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>In terms of content, the training focuses on what the </w:t>
      </w:r>
      <w:r w:rsidRPr="002B07D3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quality criteria for online implementations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> drawn up in the project mean in practice with different implementations.</w:t>
      </w:r>
    </w:p>
    <w:p w:rsidR="002B07D3" w:rsidRPr="002B07D3" w:rsidRDefault="002B07D3" w:rsidP="002B07D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> </w:t>
      </w:r>
    </w:p>
    <w:p w:rsidR="002B07D3" w:rsidRDefault="002B07D3" w:rsidP="002B07D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Training </w:t>
      </w:r>
      <w:proofErr w:type="gramStart"/>
      <w:r w:rsidRPr="002B07D3">
        <w:rPr>
          <w:rFonts w:eastAsia="Times New Roman" w:cstheme="minorHAnsi"/>
          <w:sz w:val="24"/>
          <w:szCs w:val="24"/>
          <w:lang w:val="en-US" w:eastAsia="fi-FI"/>
        </w:rPr>
        <w:t>can be carried out</w:t>
      </w:r>
      <w:proofErr w:type="gramEnd"/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 in a variety of ways, in a </w:t>
      </w:r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guided manner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> or in the form of </w:t>
      </w:r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self-study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</w:p>
    <w:p w:rsidR="002B07D3" w:rsidRDefault="002B07D3" w:rsidP="002B07D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2B07D3" w:rsidRPr="002B07D3" w:rsidRDefault="002B07D3" w:rsidP="002B07D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2B07D3">
        <w:rPr>
          <w:rFonts w:eastAsia="Times New Roman" w:cstheme="minorHAnsi"/>
          <w:sz w:val="24"/>
          <w:szCs w:val="24"/>
          <w:lang w:eastAsia="fi-FI"/>
        </w:rPr>
        <w:t>The</w:t>
      </w:r>
      <w:proofErr w:type="spellEnd"/>
      <w:r w:rsidRPr="002B07D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2B07D3">
        <w:rPr>
          <w:rFonts w:eastAsia="Times New Roman" w:cstheme="minorHAnsi"/>
          <w:sz w:val="24"/>
          <w:szCs w:val="24"/>
          <w:lang w:eastAsia="fi-FI"/>
        </w:rPr>
        <w:t>nationwide</w:t>
      </w:r>
      <w:proofErr w:type="spellEnd"/>
      <w:r w:rsidRPr="002B07D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2B07D3">
        <w:rPr>
          <w:rFonts w:eastAsia="Times New Roman" w:cstheme="minorHAnsi"/>
          <w:sz w:val="24"/>
          <w:szCs w:val="24"/>
          <w:lang w:eastAsia="fi-FI"/>
        </w:rPr>
        <w:t>training</w:t>
      </w:r>
      <w:proofErr w:type="spellEnd"/>
      <w:r w:rsidRPr="002B07D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2B07D3">
        <w:rPr>
          <w:rFonts w:eastAsia="Times New Roman" w:cstheme="minorHAnsi"/>
          <w:sz w:val="24"/>
          <w:szCs w:val="24"/>
          <w:lang w:eastAsia="fi-FI"/>
        </w:rPr>
        <w:t>included</w:t>
      </w:r>
      <w:proofErr w:type="spellEnd"/>
      <w:r w:rsidRPr="002B07D3">
        <w:rPr>
          <w:rFonts w:eastAsia="Times New Roman" w:cstheme="minorHAnsi"/>
          <w:sz w:val="24"/>
          <w:szCs w:val="24"/>
          <w:lang w:eastAsia="fi-FI"/>
        </w:rPr>
        <w:t>:</w:t>
      </w:r>
    </w:p>
    <w:p w:rsidR="002B07D3" w:rsidRPr="002B07D3" w:rsidRDefault="002B07D3" w:rsidP="002B07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>five </w:t>
      </w:r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webinars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> presenting the quality criteria for online implementations;</w:t>
      </w:r>
    </w:p>
    <w:p w:rsidR="002B07D3" w:rsidRPr="002B07D3" w:rsidRDefault="002B07D3" w:rsidP="002B07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online guidance for small groups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> between webinars in which the implementation of the presented quality criteria in the participants’ own online courses was discussed;</w:t>
      </w:r>
    </w:p>
    <w:p w:rsidR="002B07D3" w:rsidRPr="002B07D3" w:rsidRDefault="002B07D3" w:rsidP="002B07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>a </w:t>
      </w:r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face-to-face session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> in which the peer review of online courses against the quality criteria for online implementations was carried out;</w:t>
      </w:r>
    </w:p>
    <w:p w:rsidR="002B07D3" w:rsidRPr="002B07D3" w:rsidRDefault="002B07D3" w:rsidP="002B07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>a </w:t>
      </w:r>
      <w:hyperlink r:id="rId5" w:tgtFrame="_blank" w:history="1">
        <w:r w:rsidRPr="002B07D3">
          <w:rPr>
            <w:rFonts w:eastAsia="Times New Roman" w:cstheme="minorHAnsi"/>
            <w:sz w:val="24"/>
            <w:szCs w:val="24"/>
            <w:bdr w:val="none" w:sz="0" w:space="0" w:color="auto" w:frame="1"/>
            <w:lang w:val="en-US" w:eastAsia="fi-FI"/>
          </w:rPr>
          <w:t>LinkedIn expert group ‘</w:t>
        </w:r>
        <w:proofErr w:type="spellStart"/>
        <w:r w:rsidRPr="002B07D3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val="en-US" w:eastAsia="fi-FI"/>
          </w:rPr>
          <w:t>Digipeda</w:t>
        </w:r>
        <w:proofErr w:type="spellEnd"/>
        <w:r w:rsidRPr="002B07D3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val="en-US" w:eastAsia="fi-FI"/>
          </w:rPr>
          <w:t xml:space="preserve"> </w:t>
        </w:r>
        <w:proofErr w:type="spellStart"/>
        <w:r w:rsidRPr="002B07D3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val="en-US" w:eastAsia="fi-FI"/>
          </w:rPr>
          <w:t>CampusOnline</w:t>
        </w:r>
        <w:proofErr w:type="spellEnd"/>
        <w:r w:rsidRPr="002B07D3">
          <w:rPr>
            <w:rFonts w:eastAsia="Times New Roman" w:cstheme="minorHAnsi"/>
            <w:sz w:val="24"/>
            <w:szCs w:val="24"/>
            <w:bdr w:val="none" w:sz="0" w:space="0" w:color="auto" w:frame="1"/>
            <w:lang w:val="en-US" w:eastAsia="fi-FI"/>
          </w:rPr>
          <w:t>’</w:t>
        </w:r>
      </w:hyperlink>
      <w:r w:rsidRPr="002B07D3">
        <w:rPr>
          <w:rFonts w:eastAsia="Times New Roman" w:cstheme="minorHAnsi"/>
          <w:sz w:val="24"/>
          <w:szCs w:val="24"/>
          <w:lang w:val="en-US" w:eastAsia="fi-FI"/>
        </w:rPr>
        <w:t>, where the participants can share ideas, tips and questions;</w:t>
      </w:r>
    </w:p>
    <w:p w:rsidR="002B07D3" w:rsidRPr="002B07D3" w:rsidRDefault="002B07D3" w:rsidP="002B07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proofErr w:type="gramStart"/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intermediate</w:t>
      </w:r>
      <w:proofErr w:type="gramEnd"/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assignments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> in which peer review and self-evaluation were carried out.</w:t>
      </w:r>
    </w:p>
    <w:p w:rsidR="002B07D3" w:rsidRDefault="002B07D3" w:rsidP="002B07D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2B07D3" w:rsidRPr="002B07D3" w:rsidRDefault="002B07D3" w:rsidP="002B07D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Additionally, the technical and pedagogical support services of the home UASs were </w:t>
      </w:r>
      <w:proofErr w:type="spellStart"/>
      <w:r w:rsidRPr="002B07D3">
        <w:rPr>
          <w:rFonts w:eastAsia="Times New Roman" w:cstheme="minorHAnsi"/>
          <w:sz w:val="24"/>
          <w:szCs w:val="24"/>
          <w:lang w:val="en-US" w:eastAsia="fi-FI"/>
        </w:rPr>
        <w:t>utilised</w:t>
      </w:r>
      <w:proofErr w:type="spellEnd"/>
      <w:r w:rsidRPr="002B07D3">
        <w:rPr>
          <w:rFonts w:eastAsia="Times New Roman" w:cstheme="minorHAnsi"/>
          <w:sz w:val="24"/>
          <w:szCs w:val="24"/>
          <w:lang w:val="en-US" w:eastAsia="fi-FI"/>
        </w:rPr>
        <w:t>. The training ended in a </w:t>
      </w:r>
      <w:r w:rsidRPr="002B07D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closing webinar</w:t>
      </w:r>
      <w:r w:rsidRPr="002B07D3">
        <w:rPr>
          <w:rFonts w:eastAsia="Times New Roman" w:cstheme="minorHAnsi"/>
          <w:sz w:val="24"/>
          <w:szCs w:val="24"/>
          <w:lang w:val="en-US" w:eastAsia="fi-FI"/>
        </w:rPr>
        <w:t xml:space="preserve"> held after the completion of the online courses offered in the CampusOnline.fi portal, in which the preliminary results of the student feedback </w:t>
      </w:r>
      <w:proofErr w:type="gramStart"/>
      <w:r w:rsidRPr="002B07D3">
        <w:rPr>
          <w:rFonts w:eastAsia="Times New Roman" w:cstheme="minorHAnsi"/>
          <w:sz w:val="24"/>
          <w:szCs w:val="24"/>
          <w:lang w:val="en-US" w:eastAsia="fi-FI"/>
        </w:rPr>
        <w:t>were presented</w:t>
      </w:r>
      <w:proofErr w:type="gramEnd"/>
      <w:r w:rsidRPr="002B07D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2B07D3" w:rsidRPr="002B07D3" w:rsidRDefault="002B07D3" w:rsidP="002B07D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> </w:t>
      </w:r>
    </w:p>
    <w:p w:rsidR="002B07D3" w:rsidRDefault="002B07D3" w:rsidP="002B07D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2B07D3">
        <w:rPr>
          <w:rFonts w:eastAsia="Times New Roman" w:cstheme="minorHAnsi"/>
          <w:sz w:val="24"/>
          <w:szCs w:val="24"/>
          <w:lang w:val="en-US" w:eastAsia="fi-FI"/>
        </w:rPr>
        <w:t> </w:t>
      </w:r>
    </w:p>
    <w:p w:rsidR="002B07D3" w:rsidRDefault="002B07D3" w:rsidP="002B07D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2B07D3" w:rsidRDefault="002B07D3" w:rsidP="002B07D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2B07D3" w:rsidRDefault="002B07D3" w:rsidP="002B07D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2B07D3" w:rsidRDefault="002B07D3" w:rsidP="002B07D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7716"/>
      </w:tblGrid>
      <w:tr w:rsidR="002B07D3" w:rsidRPr="002B07D3" w:rsidTr="002B07D3">
        <w:trPr>
          <w:trHeight w:val="34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b/>
                <w:bCs/>
                <w:bdr w:val="none" w:sz="0" w:space="0" w:color="auto" w:frame="1"/>
                <w:lang w:eastAsia="fi-FI"/>
              </w:rPr>
              <w:lastRenderedPageBreak/>
              <w:t>Implementation</w:t>
            </w:r>
            <w:proofErr w:type="spellEnd"/>
            <w:r w:rsidRPr="002B07D3">
              <w:rPr>
                <w:rFonts w:eastAsia="Times New Roman" w:cstheme="minorHAnsi"/>
                <w:b/>
                <w:bCs/>
                <w:bdr w:val="none" w:sz="0" w:space="0" w:color="auto" w:frame="1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b/>
                <w:bCs/>
                <w:bdr w:val="none" w:sz="0" w:space="0" w:color="auto" w:frame="1"/>
                <w:lang w:eastAsia="fi-FI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b/>
                <w:bCs/>
                <w:bdr w:val="none" w:sz="0" w:space="0" w:color="auto" w:frame="1"/>
                <w:lang w:eastAsia="fi-FI"/>
              </w:rPr>
              <w:t>Subject</w:t>
            </w:r>
            <w:proofErr w:type="spellEnd"/>
            <w:r w:rsidRPr="002B07D3">
              <w:rPr>
                <w:rFonts w:eastAsia="Times New Roman" w:cstheme="minorHAnsi"/>
                <w:b/>
                <w:bCs/>
                <w:bdr w:val="none" w:sz="0" w:space="0" w:color="auto" w:frame="1"/>
                <w:lang w:eastAsia="fi-FI"/>
              </w:rPr>
              <w:t xml:space="preserve"> and </w:t>
            </w:r>
            <w:proofErr w:type="spellStart"/>
            <w:r w:rsidRPr="002B07D3">
              <w:rPr>
                <w:rFonts w:eastAsia="Times New Roman" w:cstheme="minorHAnsi"/>
                <w:b/>
                <w:bCs/>
                <w:bdr w:val="none" w:sz="0" w:space="0" w:color="auto" w:frame="1"/>
                <w:lang w:eastAsia="fi-FI"/>
              </w:rPr>
              <w:t>content</w:t>
            </w:r>
            <w:proofErr w:type="spellEnd"/>
          </w:p>
        </w:tc>
      </w:tr>
      <w:tr w:rsidR="002B07D3" w:rsidRPr="002B07D3" w:rsidTr="002B07D3">
        <w:trPr>
          <w:trHeight w:val="6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Webinar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>Pedagogical models and UAS students</w:t>
            </w:r>
          </w:p>
        </w:tc>
      </w:tr>
      <w:tr w:rsidR="002B07D3" w:rsidRPr="002B07D3" w:rsidTr="002B07D3">
        <w:trPr>
          <w:trHeight w:val="13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Intermediate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>Self-</w:t>
            </w:r>
            <w:bookmarkStart w:id="0" w:name="_GoBack"/>
            <w:bookmarkEnd w:id="0"/>
            <w:r w:rsidRPr="002B07D3">
              <w:rPr>
                <w:rFonts w:eastAsia="Times New Roman" w:cstheme="minorHAnsi"/>
                <w:lang w:val="en-US" w:eastAsia="fi-FI"/>
              </w:rPr>
              <w:t>evaluation of own online implementation and development areas</w:t>
            </w:r>
          </w:p>
          <w:p w:rsidR="002B07D3" w:rsidRPr="002B07D3" w:rsidRDefault="002B07D3" w:rsidP="002B07D3">
            <w:pPr>
              <w:spacing w:after="0" w:line="240" w:lineRule="auto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>In the evaluation, you can use the quality criteria for online implementations. </w:t>
            </w:r>
          </w:p>
        </w:tc>
      </w:tr>
      <w:tr w:rsidR="002B07D3" w:rsidRPr="002B07D3" w:rsidTr="002B07D3">
        <w:trPr>
          <w:trHeight w:val="6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Webinar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Working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–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assignments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and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contents</w:t>
            </w:r>
            <w:proofErr w:type="spellEnd"/>
          </w:p>
        </w:tc>
      </w:tr>
      <w:tr w:rsidR="002B07D3" w:rsidRPr="002B07D3" w:rsidTr="002B07D3">
        <w:trPr>
          <w:trHeight w:val="30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Intermediate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after="0" w:line="240" w:lineRule="auto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 xml:space="preserve">Development of digital pedagogy competence – </w:t>
            </w:r>
            <w:proofErr w:type="spellStart"/>
            <w:r w:rsidRPr="002B07D3">
              <w:rPr>
                <w:rFonts w:eastAsia="Times New Roman" w:cstheme="minorHAnsi"/>
                <w:lang w:val="en-US" w:eastAsia="fi-FI"/>
              </w:rPr>
              <w:t>Padlet</w:t>
            </w:r>
            <w:proofErr w:type="spellEnd"/>
            <w:r w:rsidRPr="002B07D3">
              <w:rPr>
                <w:rFonts w:eastAsia="Times New Roman" w:cstheme="minorHAnsi"/>
                <w:lang w:val="en-US" w:eastAsia="fi-FI"/>
              </w:rPr>
              <w:t xml:space="preserve"> as a tool</w:t>
            </w:r>
          </w:p>
          <w:p w:rsidR="002B07D3" w:rsidRPr="002B07D3" w:rsidRDefault="002B07D3" w:rsidP="002B07D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Padlet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</w:p>
          <w:p w:rsidR="002B07D3" w:rsidRPr="002B07D3" w:rsidRDefault="002B07D3" w:rsidP="002B07D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>Create user credentials or use existing credentials (e.g. Google)  </w:t>
            </w:r>
          </w:p>
          <w:p w:rsidR="002B07D3" w:rsidRPr="002B07D3" w:rsidRDefault="002B07D3" w:rsidP="002B07D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 xml:space="preserve">Copy the </w:t>
            </w:r>
            <w:proofErr w:type="spellStart"/>
            <w:r w:rsidRPr="002B07D3">
              <w:rPr>
                <w:rFonts w:eastAsia="Times New Roman" w:cstheme="minorHAnsi"/>
                <w:lang w:val="en-US" w:eastAsia="fi-FI"/>
              </w:rPr>
              <w:t>Padlet</w:t>
            </w:r>
            <w:proofErr w:type="spellEnd"/>
            <w:r w:rsidRPr="002B07D3">
              <w:rPr>
                <w:rFonts w:eastAsia="Times New Roman" w:cstheme="minorHAnsi"/>
                <w:lang w:val="en-US" w:eastAsia="fi-FI"/>
              </w:rPr>
              <w:t xml:space="preserve"> template (in Finnish) to your own </w:t>
            </w:r>
            <w:proofErr w:type="spellStart"/>
            <w:r w:rsidRPr="002B07D3">
              <w:rPr>
                <w:rFonts w:eastAsia="Times New Roman" w:cstheme="minorHAnsi"/>
                <w:lang w:val="en-US" w:eastAsia="fi-FI"/>
              </w:rPr>
              <w:t>Padlet</w:t>
            </w:r>
            <w:proofErr w:type="spellEnd"/>
            <w:r w:rsidRPr="002B07D3">
              <w:rPr>
                <w:rFonts w:eastAsia="Times New Roman" w:cstheme="minorHAnsi"/>
                <w:lang w:val="en-US" w:eastAsia="fi-FI"/>
              </w:rPr>
              <w:t xml:space="preserve"> desktop (Remake – copy design, copy posts)</w:t>
            </w:r>
          </w:p>
          <w:p w:rsidR="002B07D3" w:rsidRPr="002B07D3" w:rsidRDefault="002B07D3" w:rsidP="002B07D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 xml:space="preserve">Then use the </w:t>
            </w:r>
            <w:proofErr w:type="spellStart"/>
            <w:r w:rsidRPr="002B07D3">
              <w:rPr>
                <w:rFonts w:eastAsia="Times New Roman" w:cstheme="minorHAnsi"/>
                <w:lang w:val="en-US" w:eastAsia="fi-FI"/>
              </w:rPr>
              <w:t>Padlet</w:t>
            </w:r>
            <w:proofErr w:type="spellEnd"/>
            <w:r w:rsidRPr="002B07D3">
              <w:rPr>
                <w:rFonts w:eastAsia="Times New Roman" w:cstheme="minorHAnsi"/>
                <w:lang w:val="en-US" w:eastAsia="fi-FI"/>
              </w:rPr>
              <w:t xml:space="preserve"> template to make self-evaluation visible and to record areas of development and ideas</w:t>
            </w:r>
          </w:p>
          <w:p w:rsidR="002B07D3" w:rsidRPr="002B07D3" w:rsidRDefault="002B07D3" w:rsidP="002B07D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 xml:space="preserve">Discuss your reflections recorded in </w:t>
            </w:r>
            <w:proofErr w:type="spellStart"/>
            <w:r w:rsidRPr="002B07D3">
              <w:rPr>
                <w:rFonts w:eastAsia="Times New Roman" w:cstheme="minorHAnsi"/>
                <w:lang w:val="en-US" w:eastAsia="fi-FI"/>
              </w:rPr>
              <w:t>Padlet</w:t>
            </w:r>
            <w:proofErr w:type="spellEnd"/>
            <w:r w:rsidRPr="002B07D3">
              <w:rPr>
                <w:rFonts w:eastAsia="Times New Roman" w:cstheme="minorHAnsi"/>
                <w:lang w:val="en-US" w:eastAsia="fi-FI"/>
              </w:rPr>
              <w:t xml:space="preserve"> in the small group meetings. Alternatively, you can hold a discussion with the online pedagogy expert in your </w:t>
            </w:r>
            <w:proofErr w:type="spellStart"/>
            <w:r w:rsidRPr="002B07D3">
              <w:rPr>
                <w:rFonts w:eastAsia="Times New Roman" w:cstheme="minorHAnsi"/>
                <w:lang w:val="en-US" w:eastAsia="fi-FI"/>
              </w:rPr>
              <w:t>organisation</w:t>
            </w:r>
            <w:proofErr w:type="spellEnd"/>
          </w:p>
        </w:tc>
      </w:tr>
      <w:tr w:rsidR="002B07D3" w:rsidRPr="002B07D3" w:rsidTr="002B07D3">
        <w:trPr>
          <w:trHeight w:val="6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r w:rsidRPr="002B07D3">
              <w:rPr>
                <w:rFonts w:eastAsia="Times New Roman" w:cstheme="minorHAnsi"/>
                <w:lang w:eastAsia="fi-FI"/>
              </w:rPr>
              <w:t xml:space="preserve">Small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group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meeting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Field-specific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meetings</w:t>
            </w:r>
            <w:proofErr w:type="spellEnd"/>
          </w:p>
        </w:tc>
      </w:tr>
      <w:tr w:rsidR="002B07D3" w:rsidRPr="002B07D3" w:rsidTr="002B07D3">
        <w:trPr>
          <w:trHeight w:val="59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Webinar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Guidance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, feedback and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evaluation</w:t>
            </w:r>
            <w:proofErr w:type="spellEnd"/>
          </w:p>
        </w:tc>
      </w:tr>
      <w:tr w:rsidR="002B07D3" w:rsidRPr="002B07D3" w:rsidTr="002B07D3">
        <w:trPr>
          <w:trHeight w:val="6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Webinar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Interaction</w:t>
            </w:r>
            <w:proofErr w:type="spellEnd"/>
          </w:p>
        </w:tc>
      </w:tr>
      <w:tr w:rsidR="002B07D3" w:rsidRPr="002B07D3" w:rsidTr="002B07D3">
        <w:trPr>
          <w:trHeight w:val="6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r w:rsidRPr="002B07D3">
              <w:rPr>
                <w:rFonts w:eastAsia="Times New Roman" w:cstheme="minorHAnsi"/>
                <w:lang w:eastAsia="fi-FI"/>
              </w:rPr>
              <w:t xml:space="preserve">Small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group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meeting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Field-specific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meetings</w:t>
            </w:r>
            <w:proofErr w:type="spellEnd"/>
          </w:p>
        </w:tc>
      </w:tr>
      <w:tr w:rsidR="002B07D3" w:rsidRPr="002B07D3" w:rsidTr="002B07D3">
        <w:trPr>
          <w:trHeight w:val="59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Face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>-to-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face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session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after="0" w:line="240" w:lineRule="auto"/>
              <w:rPr>
                <w:rFonts w:eastAsia="Times New Roman" w:cstheme="minorHAnsi"/>
                <w:lang w:val="en-US" w:eastAsia="fi-FI"/>
              </w:rPr>
            </w:pPr>
            <w:r w:rsidRPr="002B07D3">
              <w:rPr>
                <w:rFonts w:eastAsia="Times New Roman" w:cstheme="minorHAnsi"/>
                <w:lang w:val="en-US" w:eastAsia="fi-FI"/>
              </w:rPr>
              <w:t> Presentation of own implementations and peer review</w:t>
            </w:r>
          </w:p>
        </w:tc>
      </w:tr>
      <w:tr w:rsidR="002B07D3" w:rsidRPr="002B07D3" w:rsidTr="002B07D3">
        <w:trPr>
          <w:trHeight w:val="6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Webinar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r w:rsidRPr="002B07D3">
              <w:rPr>
                <w:rFonts w:eastAsia="Times New Roman" w:cstheme="minorHAnsi"/>
                <w:lang w:eastAsia="fi-FI"/>
              </w:rPr>
              <w:t xml:space="preserve">Tools and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usability</w:t>
            </w:r>
            <w:proofErr w:type="spellEnd"/>
          </w:p>
        </w:tc>
      </w:tr>
      <w:tr w:rsidR="002B07D3" w:rsidRPr="002B07D3" w:rsidTr="002B07D3">
        <w:trPr>
          <w:trHeight w:val="9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Intermediate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Finalisation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of online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implementation</w:t>
            </w:r>
            <w:proofErr w:type="spellEnd"/>
          </w:p>
        </w:tc>
      </w:tr>
      <w:tr w:rsidR="002B07D3" w:rsidRPr="002B07D3" w:rsidTr="002B07D3">
        <w:trPr>
          <w:trHeight w:val="6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r w:rsidRPr="002B07D3">
              <w:rPr>
                <w:rFonts w:eastAsia="Times New Roman" w:cstheme="minorHAnsi"/>
                <w:lang w:eastAsia="fi-FI"/>
              </w:rPr>
              <w:t xml:space="preserve">Small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group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meeting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t>Field-specific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meetings</w:t>
            </w:r>
            <w:proofErr w:type="spellEnd"/>
          </w:p>
        </w:tc>
      </w:tr>
      <w:tr w:rsidR="002B07D3" w:rsidRPr="002B07D3" w:rsidTr="002B07D3">
        <w:trPr>
          <w:trHeight w:val="6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7D3" w:rsidRPr="002B07D3" w:rsidRDefault="002B07D3" w:rsidP="002B07D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lang w:eastAsia="fi-FI"/>
              </w:rPr>
            </w:pPr>
            <w:proofErr w:type="spellStart"/>
            <w:r w:rsidRPr="002B07D3">
              <w:rPr>
                <w:rFonts w:eastAsia="Times New Roman" w:cstheme="minorHAnsi"/>
                <w:lang w:eastAsia="fi-FI"/>
              </w:rPr>
              <w:lastRenderedPageBreak/>
              <w:t>Final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webinar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7D3" w:rsidRPr="002B07D3" w:rsidRDefault="002B07D3" w:rsidP="002B07D3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2B07D3">
              <w:rPr>
                <w:rFonts w:eastAsia="Times New Roman" w:cstheme="minorHAnsi"/>
                <w:lang w:eastAsia="fi-FI"/>
              </w:rPr>
              <w:t xml:space="preserve">Feedback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from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2B07D3">
              <w:rPr>
                <w:rFonts w:eastAsia="Times New Roman" w:cstheme="minorHAnsi"/>
                <w:lang w:eastAsia="fi-FI"/>
              </w:rPr>
              <w:t>students</w:t>
            </w:r>
            <w:proofErr w:type="spellEnd"/>
            <w:r w:rsidRPr="002B07D3">
              <w:rPr>
                <w:rFonts w:eastAsia="Times New Roman" w:cstheme="minorHAnsi"/>
                <w:lang w:eastAsia="fi-FI"/>
              </w:rPr>
              <w:t> </w:t>
            </w:r>
          </w:p>
        </w:tc>
      </w:tr>
    </w:tbl>
    <w:p w:rsidR="008F06F4" w:rsidRPr="002B07D3" w:rsidRDefault="008F06F4">
      <w:pPr>
        <w:rPr>
          <w:rFonts w:cstheme="minorHAnsi"/>
        </w:rPr>
      </w:pPr>
    </w:p>
    <w:sectPr w:rsidR="008F06F4" w:rsidRPr="002B07D3" w:rsidSect="002B0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D1F"/>
    <w:multiLevelType w:val="multilevel"/>
    <w:tmpl w:val="C9DE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31580"/>
    <w:multiLevelType w:val="multilevel"/>
    <w:tmpl w:val="EFD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D3"/>
    <w:rsid w:val="002B07D3"/>
    <w:rsid w:val="008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4A17"/>
  <w15:chartTrackingRefBased/>
  <w15:docId w15:val="{6B9A9FDC-410F-44E2-8803-58F638E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2B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2B07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B07D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2B07D3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B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B07D3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2B0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46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groups/86502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300</Words>
  <Characters>3000</Characters>
  <Application>Microsoft Office Word</Application>
  <DocSecurity>0</DocSecurity>
  <Lines>57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JAMK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Tyrväinen Paula</dc:creator>
  <cp:keywords/>
  <dc:description/>
  <cp:lastModifiedBy>Tyrväinen Paula</cp:lastModifiedBy>
  <cp:revision>1</cp:revision>
  <dcterms:created xsi:type="dcterms:W3CDTF">2021-05-24T12:50:00Z</dcterms:created>
  <dcterms:modified xsi:type="dcterms:W3CDTF">2021-05-24T13:00:00Z</dcterms:modified>
</cp:coreProperties>
</file>