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BAB37" w14:textId="77777777" w:rsidR="00C21CAD" w:rsidRDefault="00C21CAD" w:rsidP="00C21CAD">
      <w:pPr>
        <w:rPr>
          <w:rFonts w:ascii="Arial" w:hAnsi="Arial" w:cs="Arial"/>
          <w:b/>
          <w:bCs/>
        </w:rPr>
      </w:pPr>
      <w:r>
        <w:rPr>
          <w:rFonts w:ascii="Arial" w:hAnsi="Arial" w:cs="Arial"/>
          <w:b/>
          <w:bCs/>
        </w:rPr>
        <w:t>PedaXR: kliininen farmakologia, lääkehoidon turvallisuus 3 (yksi potilas sairaalassa)</w:t>
      </w:r>
    </w:p>
    <w:p w14:paraId="4F1F1A3C" w14:textId="77777777" w:rsidR="00486980" w:rsidRPr="005D180A" w:rsidRDefault="00486980" w:rsidP="00486980">
      <w:pPr>
        <w:rPr>
          <w:rFonts w:ascii="Arial" w:hAnsi="Arial" w:cs="Arial"/>
        </w:rPr>
      </w:pPr>
      <w:r w:rsidRPr="006F476A">
        <w:rPr>
          <w:rFonts w:ascii="Arial" w:hAnsi="Arial" w:cs="Arial"/>
          <w:noProof/>
        </w:rPr>
        <w:drawing>
          <wp:inline distT="0" distB="0" distL="0" distR="0" wp14:anchorId="6FDE5E39" wp14:editId="40D19B2E">
            <wp:extent cx="2917496" cy="2054506"/>
            <wp:effectExtent l="0" t="0" r="0" b="3175"/>
            <wp:docPr id="2" name="Picture 2" descr="Kuva, joka sisältää kohteen huone, sairaalahuone, Lääketieteelliset välineet, koht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huone, sairaalahuone, Lääketieteelliset välineet, kohtaus&#10;&#10;Kuvaus luotu automaattisesti"/>
                    <pic:cNvPicPr/>
                  </pic:nvPicPr>
                  <pic:blipFill>
                    <a:blip r:embed="rId7"/>
                    <a:stretch>
                      <a:fillRect/>
                    </a:stretch>
                  </pic:blipFill>
                  <pic:spPr>
                    <a:xfrm>
                      <a:off x="0" y="0"/>
                      <a:ext cx="2933139" cy="2065522"/>
                    </a:xfrm>
                    <a:prstGeom prst="rect">
                      <a:avLst/>
                    </a:prstGeom>
                  </pic:spPr>
                </pic:pic>
              </a:graphicData>
            </a:graphic>
          </wp:inline>
        </w:drawing>
      </w:r>
    </w:p>
    <w:p w14:paraId="3ACC44F8" w14:textId="23E6D900" w:rsidR="00486980" w:rsidRPr="00486980" w:rsidRDefault="00486980" w:rsidP="00C21CAD">
      <w:pPr>
        <w:jc w:val="both"/>
        <w:rPr>
          <w:rFonts w:ascii="Arial" w:hAnsi="Arial" w:cs="Arial"/>
          <w:b/>
          <w:bCs/>
        </w:rPr>
      </w:pPr>
      <w:r>
        <w:rPr>
          <w:rFonts w:ascii="Arial" w:hAnsi="Arial" w:cs="Arial"/>
          <w:b/>
          <w:bCs/>
        </w:rPr>
        <w:t>Potilas</w:t>
      </w:r>
    </w:p>
    <w:p w14:paraId="497EBDB4" w14:textId="77777777" w:rsidR="00486980" w:rsidRPr="00A41B88" w:rsidRDefault="00486980" w:rsidP="00C21CAD">
      <w:pPr>
        <w:spacing w:after="0"/>
        <w:jc w:val="both"/>
        <w:rPr>
          <w:rFonts w:ascii="Arial" w:hAnsi="Arial" w:cs="Arial"/>
        </w:rPr>
      </w:pPr>
      <w:r w:rsidRPr="00A41B88">
        <w:rPr>
          <w:rFonts w:ascii="Arial" w:hAnsi="Arial" w:cs="Arial"/>
          <w:b/>
          <w:bCs/>
        </w:rPr>
        <w:t>Nimi:</w:t>
      </w:r>
      <w:r w:rsidRPr="00A41B88">
        <w:rPr>
          <w:rFonts w:ascii="Arial" w:hAnsi="Arial" w:cs="Arial"/>
        </w:rPr>
        <w:t xml:space="preserve"> Johan Ström</w:t>
      </w:r>
    </w:p>
    <w:p w14:paraId="1E40738A" w14:textId="77777777" w:rsidR="00486980" w:rsidRPr="00A41B88" w:rsidRDefault="00486980" w:rsidP="00C21CAD">
      <w:pPr>
        <w:spacing w:after="0"/>
        <w:jc w:val="both"/>
        <w:rPr>
          <w:rFonts w:ascii="Arial" w:hAnsi="Arial" w:cs="Arial"/>
        </w:rPr>
      </w:pPr>
      <w:r w:rsidRPr="00A41B88">
        <w:rPr>
          <w:rFonts w:ascii="Arial" w:hAnsi="Arial" w:cs="Arial"/>
          <w:b/>
          <w:bCs/>
        </w:rPr>
        <w:t>Perussairaudet:</w:t>
      </w:r>
      <w:r w:rsidRPr="00A41B88">
        <w:rPr>
          <w:rFonts w:ascii="Arial" w:hAnsi="Arial" w:cs="Arial"/>
        </w:rPr>
        <w:t xml:space="preserve"> sepelvaltimotauti, kilpirauhasen vajaatoiminta, glaukooma, nivelreuma </w:t>
      </w:r>
    </w:p>
    <w:p w14:paraId="299D441C" w14:textId="77777777" w:rsidR="00486980" w:rsidRDefault="00486980" w:rsidP="00C21CAD">
      <w:pPr>
        <w:spacing w:after="0"/>
        <w:jc w:val="both"/>
        <w:rPr>
          <w:rFonts w:ascii="Arial" w:hAnsi="Arial" w:cs="Arial"/>
        </w:rPr>
      </w:pPr>
      <w:r w:rsidRPr="00A41B88">
        <w:rPr>
          <w:rFonts w:ascii="Arial" w:hAnsi="Arial" w:cs="Arial"/>
          <w:b/>
          <w:bCs/>
        </w:rPr>
        <w:t>Allergiat:</w:t>
      </w:r>
      <w:r w:rsidRPr="00A41B88">
        <w:rPr>
          <w:rFonts w:ascii="Arial" w:hAnsi="Arial" w:cs="Arial"/>
        </w:rPr>
        <w:t xml:space="preserve"> ASA</w:t>
      </w:r>
    </w:p>
    <w:p w14:paraId="114AAAE2" w14:textId="77777777" w:rsidR="00486980" w:rsidRPr="00A41B88" w:rsidRDefault="00486980" w:rsidP="00C21CAD">
      <w:pPr>
        <w:spacing w:after="0"/>
        <w:jc w:val="both"/>
        <w:rPr>
          <w:rFonts w:ascii="Arial" w:hAnsi="Arial" w:cs="Arial"/>
        </w:rPr>
      </w:pPr>
      <w:r w:rsidRPr="00A41B88">
        <w:rPr>
          <w:rFonts w:ascii="Arial" w:hAnsi="Arial" w:cs="Arial"/>
          <w:b/>
          <w:bCs/>
        </w:rPr>
        <w:t>Tulosyy:</w:t>
      </w:r>
      <w:r w:rsidRPr="00A41B88">
        <w:rPr>
          <w:rFonts w:ascii="Arial" w:hAnsi="Arial" w:cs="Arial"/>
        </w:rPr>
        <w:t xml:space="preserve"> huonovointisuus, yleistilan lasku</w:t>
      </w:r>
    </w:p>
    <w:p w14:paraId="788A693A" w14:textId="77777777" w:rsidR="00486980" w:rsidRDefault="00486980" w:rsidP="00C21CAD">
      <w:pPr>
        <w:jc w:val="both"/>
        <w:rPr>
          <w:rFonts w:ascii="Arial" w:hAnsi="Arial" w:cs="Arial"/>
        </w:rPr>
      </w:pPr>
      <w:r w:rsidRPr="00A41B88">
        <w:rPr>
          <w:rFonts w:ascii="Arial" w:hAnsi="Arial" w:cs="Arial"/>
          <w:b/>
          <w:bCs/>
        </w:rPr>
        <w:t>Hoito:</w:t>
      </w:r>
      <w:r w:rsidRPr="00A41B88">
        <w:rPr>
          <w:rFonts w:ascii="Arial" w:hAnsi="Arial" w:cs="Arial"/>
        </w:rPr>
        <w:t xml:space="preserve"> osastolle verikokeisiin ja diagnoosin selvittelyyn</w:t>
      </w:r>
    </w:p>
    <w:p w14:paraId="70F3E10F" w14:textId="77777777" w:rsidR="00486980" w:rsidRDefault="00486980" w:rsidP="00C21CAD">
      <w:pPr>
        <w:jc w:val="both"/>
        <w:rPr>
          <w:rFonts w:ascii="Arial" w:hAnsi="Arial" w:cs="Arial"/>
        </w:rPr>
      </w:pPr>
      <w:r>
        <w:rPr>
          <w:rFonts w:ascii="Arial" w:hAnsi="Arial" w:cs="Arial"/>
        </w:rPr>
        <w:t xml:space="preserve">Opiskelijoille tietoruudussa on kerrottu alla oleva:  </w:t>
      </w:r>
    </w:p>
    <w:p w14:paraId="570DFA8D" w14:textId="77777777" w:rsidR="00486980" w:rsidRPr="00A41B88" w:rsidRDefault="00486980" w:rsidP="00C21CAD">
      <w:pPr>
        <w:jc w:val="both"/>
        <w:rPr>
          <w:rFonts w:ascii="Arial" w:hAnsi="Arial" w:cs="Arial"/>
        </w:rPr>
      </w:pPr>
      <w:r w:rsidRPr="00A41B88">
        <w:rPr>
          <w:rFonts w:ascii="Arial" w:hAnsi="Arial" w:cs="Arial"/>
          <w:noProof/>
        </w:rPr>
        <mc:AlternateContent>
          <mc:Choice Requires="wps">
            <w:drawing>
              <wp:anchor distT="0" distB="0" distL="114300" distR="114300" simplePos="0" relativeHeight="251658241" behindDoc="0" locked="0" layoutInCell="1" allowOverlap="1" wp14:anchorId="443B11E5" wp14:editId="292A6465">
                <wp:simplePos x="0" y="0"/>
                <wp:positionH relativeFrom="margin">
                  <wp:align>center</wp:align>
                </wp:positionH>
                <wp:positionV relativeFrom="paragraph">
                  <wp:posOffset>166684</wp:posOffset>
                </wp:positionV>
                <wp:extent cx="6740083" cy="1216439"/>
                <wp:effectExtent l="19050" t="19050" r="41910" b="41275"/>
                <wp:wrapNone/>
                <wp:docPr id="7" name="Rectangle 7"/>
                <wp:cNvGraphicFramePr/>
                <a:graphic xmlns:a="http://schemas.openxmlformats.org/drawingml/2006/main">
                  <a:graphicData uri="http://schemas.microsoft.com/office/word/2010/wordprocessingShape">
                    <wps:wsp>
                      <wps:cNvSpPr/>
                      <wps:spPr>
                        <a:xfrm>
                          <a:off x="0" y="0"/>
                          <a:ext cx="6740083" cy="1216439"/>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4BC1CD45" id="Suorakulmio 7" o:spid="_x0000_s1026" style="position:absolute;margin-left:0;margin-top:13.1pt;width:530.7pt;height:95.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" filled="f" strokecolor="#1f3763 [1604]" strokeweight="4.5pt">
                <w10:wrap anchorx="margin"/>
              </v:rect>
            </w:pict>
          </mc:Fallback>
        </mc:AlternateContent>
      </w:r>
    </w:p>
    <w:p w14:paraId="4E51E809" w14:textId="77777777" w:rsidR="00486980" w:rsidRPr="00A41B88" w:rsidRDefault="00486980" w:rsidP="00C21CAD">
      <w:pPr>
        <w:jc w:val="both"/>
        <w:rPr>
          <w:rFonts w:ascii="Arial" w:hAnsi="Arial" w:cs="Arial"/>
        </w:rPr>
      </w:pPr>
      <w:r w:rsidRPr="00A41B88">
        <w:rPr>
          <w:rFonts w:ascii="Arial" w:hAnsi="Arial" w:cs="Arial"/>
        </w:rPr>
        <w:t xml:space="preserve">Johan Ström on 82-vuotias. Hän sairastaa sepelvaltimotautia, kilpirauhasen vajaatoimintaa, glaukoomaa ja nivelreumaa. Johan on allerginen asetyylisalisyylihapolle (ASA). </w:t>
      </w:r>
    </w:p>
    <w:p w14:paraId="373F81EE" w14:textId="77777777" w:rsidR="00486980" w:rsidRPr="00A41B88" w:rsidRDefault="00486980" w:rsidP="00C21CAD">
      <w:pPr>
        <w:jc w:val="both"/>
        <w:rPr>
          <w:rFonts w:ascii="Arial" w:hAnsi="Arial" w:cs="Arial"/>
        </w:rPr>
      </w:pPr>
      <w:r w:rsidRPr="00A41B88">
        <w:rPr>
          <w:rFonts w:ascii="Arial" w:hAnsi="Arial" w:cs="Arial"/>
        </w:rPr>
        <w:t xml:space="preserve">Johanin vointi on huonontunut ja hänet on otettu päivystyksen kautta osastolle jatkotutkimuksiin, koska on epäselvää, mikä on aiheuttanut yleistilan laskun. Nieleminen on ollut huonoa ja osastolla Johan on tarvinnut apua ruokailussa. Diagnoosin jälkeen tavoitteena on nopea kotiuttaminen. </w:t>
      </w:r>
    </w:p>
    <w:p w14:paraId="1A684714" w14:textId="77777777" w:rsidR="00486980" w:rsidRDefault="00486980" w:rsidP="00C21CAD">
      <w:pPr>
        <w:jc w:val="both"/>
        <w:rPr>
          <w:rFonts w:ascii="Arial" w:hAnsi="Arial" w:cs="Arial"/>
        </w:rPr>
      </w:pPr>
    </w:p>
    <w:p w14:paraId="2D7B85E9" w14:textId="77777777" w:rsidR="00486980" w:rsidRDefault="00486980" w:rsidP="00C21CAD">
      <w:pPr>
        <w:jc w:val="both"/>
        <w:rPr>
          <w:rFonts w:ascii="Arial" w:hAnsi="Arial" w:cs="Arial"/>
        </w:rPr>
      </w:pPr>
      <w:r>
        <w:rPr>
          <w:rFonts w:ascii="Arial" w:hAnsi="Arial" w:cs="Arial"/>
        </w:rPr>
        <w:t xml:space="preserve">Opiskelijoille annettu lääkelista: </w:t>
      </w:r>
    </w:p>
    <w:p w14:paraId="76CD0599" w14:textId="77777777" w:rsidR="00486980" w:rsidRDefault="00486980" w:rsidP="00C21CAD">
      <w:pPr>
        <w:jc w:val="both"/>
        <w:rPr>
          <w:rFonts w:ascii="Arial" w:hAnsi="Arial" w:cs="Arial"/>
          <w:b/>
          <w:bCs/>
        </w:rPr>
      </w:pPr>
      <w:r w:rsidRPr="00A41B88">
        <w:rPr>
          <w:rFonts w:ascii="Arial" w:hAnsi="Arial" w:cs="Arial"/>
          <w:noProof/>
        </w:rPr>
        <w:drawing>
          <wp:anchor distT="0" distB="0" distL="114300" distR="114300" simplePos="0" relativeHeight="251658242" behindDoc="0" locked="0" layoutInCell="1" allowOverlap="1" wp14:anchorId="5A5A473D" wp14:editId="546BD31D">
            <wp:simplePos x="0" y="0"/>
            <wp:positionH relativeFrom="margin">
              <wp:align>left</wp:align>
            </wp:positionH>
            <wp:positionV relativeFrom="paragraph">
              <wp:posOffset>5490</wp:posOffset>
            </wp:positionV>
            <wp:extent cx="2764155" cy="1418590"/>
            <wp:effectExtent l="0" t="0" r="0" b="0"/>
            <wp:wrapThrough wrapText="bothSides">
              <wp:wrapPolygon edited="0">
                <wp:start x="0" y="0"/>
                <wp:lineTo x="0" y="21175"/>
                <wp:lineTo x="21436" y="21175"/>
                <wp:lineTo x="21436" y="0"/>
                <wp:lineTo x="0" y="0"/>
              </wp:wrapPolygon>
            </wp:wrapThrough>
            <wp:docPr id="9" name="Picture 9" descr="Kuva, joka sisältää kohteen pöyt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Kuva, joka sisältää kohteen pöytä&#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4155" cy="1418590"/>
                    </a:xfrm>
                    <a:prstGeom prst="rect">
                      <a:avLst/>
                    </a:prstGeom>
                  </pic:spPr>
                </pic:pic>
              </a:graphicData>
            </a:graphic>
            <wp14:sizeRelH relativeFrom="page">
              <wp14:pctWidth>0</wp14:pctWidth>
            </wp14:sizeRelH>
            <wp14:sizeRelV relativeFrom="page">
              <wp14:pctHeight>0</wp14:pctHeight>
            </wp14:sizeRelV>
          </wp:anchor>
        </w:drawing>
      </w:r>
    </w:p>
    <w:p w14:paraId="325CA323" w14:textId="77777777" w:rsidR="00486980" w:rsidRDefault="00486980" w:rsidP="00C21CAD">
      <w:pPr>
        <w:jc w:val="both"/>
        <w:rPr>
          <w:rFonts w:ascii="Arial" w:hAnsi="Arial" w:cs="Arial"/>
          <w:b/>
          <w:bCs/>
        </w:rPr>
      </w:pPr>
    </w:p>
    <w:p w14:paraId="26EB4690" w14:textId="77777777" w:rsidR="00486980" w:rsidRDefault="00486980" w:rsidP="00C21CAD">
      <w:pPr>
        <w:jc w:val="both"/>
        <w:rPr>
          <w:rFonts w:ascii="Arial" w:hAnsi="Arial" w:cs="Arial"/>
          <w:b/>
          <w:bCs/>
        </w:rPr>
      </w:pPr>
    </w:p>
    <w:p w14:paraId="2AFEDBC7" w14:textId="77777777" w:rsidR="00486980" w:rsidRDefault="00486980" w:rsidP="00C21CAD">
      <w:pPr>
        <w:jc w:val="both"/>
        <w:rPr>
          <w:rFonts w:ascii="Arial" w:hAnsi="Arial" w:cs="Arial"/>
          <w:b/>
          <w:bCs/>
        </w:rPr>
      </w:pPr>
    </w:p>
    <w:p w14:paraId="0E42367D" w14:textId="77777777" w:rsidR="00486980" w:rsidRDefault="00486980" w:rsidP="00C21CAD">
      <w:pPr>
        <w:jc w:val="both"/>
        <w:rPr>
          <w:rFonts w:ascii="Arial" w:hAnsi="Arial" w:cs="Arial"/>
          <w:b/>
          <w:bCs/>
        </w:rPr>
      </w:pPr>
    </w:p>
    <w:p w14:paraId="1D31210B" w14:textId="77777777" w:rsidR="00486980" w:rsidRDefault="00486980" w:rsidP="00C21CAD">
      <w:pPr>
        <w:jc w:val="both"/>
        <w:rPr>
          <w:rFonts w:ascii="Arial" w:hAnsi="Arial" w:cs="Arial"/>
          <w:b/>
          <w:bCs/>
        </w:rPr>
      </w:pPr>
    </w:p>
    <w:p w14:paraId="564471DD" w14:textId="77777777" w:rsidR="00486980" w:rsidRDefault="00486980" w:rsidP="00C21CAD">
      <w:pPr>
        <w:jc w:val="both"/>
        <w:rPr>
          <w:rFonts w:ascii="Arial" w:hAnsi="Arial" w:cs="Arial"/>
          <w:b/>
          <w:bCs/>
        </w:rPr>
      </w:pPr>
      <w:r>
        <w:rPr>
          <w:rFonts w:ascii="Arial" w:hAnsi="Arial" w:cs="Arial"/>
          <w:b/>
          <w:bCs/>
        </w:rPr>
        <w:br w:type="page"/>
      </w:r>
    </w:p>
    <w:p w14:paraId="00CD6F5A" w14:textId="168DBAD0" w:rsidR="00486980" w:rsidRPr="00A41B88" w:rsidRDefault="00486980" w:rsidP="00C21CAD">
      <w:pPr>
        <w:jc w:val="both"/>
        <w:rPr>
          <w:rFonts w:ascii="Arial" w:hAnsi="Arial" w:cs="Arial"/>
          <w:b/>
          <w:bCs/>
        </w:rPr>
      </w:pPr>
      <w:r w:rsidRPr="00A41B88">
        <w:rPr>
          <w:rFonts w:ascii="Arial" w:hAnsi="Arial" w:cs="Arial"/>
          <w:b/>
          <w:bCs/>
        </w:rPr>
        <w:t xml:space="preserve">Lääkitys: </w:t>
      </w:r>
    </w:p>
    <w:p w14:paraId="643586B1"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rPr>
        <w:t xml:space="preserve">verapamiili dep. 200 mg 1 x 2 </w:t>
      </w:r>
    </w:p>
    <w:p w14:paraId="747D1A94"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rPr>
        <w:t>spironolaktoni 25 mg 1 x 1; iltaisin - jakovirhe</w:t>
      </w:r>
    </w:p>
    <w:p w14:paraId="7E7182BE"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rPr>
        <w:t>levotyroksiini 50 µg ma, ke, pe 1 x 1 ti, to, la, su 0,5 x 1; tulisi jakaa erikseen</w:t>
      </w:r>
    </w:p>
    <w:p w14:paraId="63B1B147"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rPr>
        <w:t>metotreksaatti 10 mg x 1/vko; jakovirhe</w:t>
      </w:r>
    </w:p>
    <w:p w14:paraId="32EACD2E"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rPr>
        <w:t xml:space="preserve">foolihappo 5 mg x 1 /vko; jakovirhe </w:t>
      </w:r>
    </w:p>
    <w:p w14:paraId="74CE3620"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rPr>
        <w:t>tematsepaami 20 mg 1 x 1; jakovirhe</w:t>
      </w:r>
    </w:p>
    <w:p w14:paraId="25FF505B"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rPr>
        <w:t>timololi 5 mg/ml 1 gtt x 2 o.a.; pakkaus avonaisena pöydällä</w:t>
      </w:r>
    </w:p>
    <w:p w14:paraId="4EBA67BC" w14:textId="77777777" w:rsidR="00486980" w:rsidRPr="00EE6402" w:rsidRDefault="00486980" w:rsidP="00C21CAD">
      <w:pPr>
        <w:numPr>
          <w:ilvl w:val="0"/>
          <w:numId w:val="2"/>
        </w:numPr>
        <w:spacing w:after="0"/>
        <w:jc w:val="both"/>
        <w:rPr>
          <w:rFonts w:ascii="Arial" w:hAnsi="Arial" w:cs="Arial"/>
          <w:b/>
          <w:bCs/>
        </w:rPr>
      </w:pPr>
      <w:r w:rsidRPr="00A41B88">
        <w:rPr>
          <w:rFonts w:ascii="Arial" w:hAnsi="Arial" w:cs="Arial"/>
        </w:rPr>
        <w:t>etorikoksibi 60 mg 1 x 1</w:t>
      </w:r>
    </w:p>
    <w:p w14:paraId="602A655F" w14:textId="77777777" w:rsidR="00486980" w:rsidRDefault="00486980" w:rsidP="00C21CAD">
      <w:pPr>
        <w:jc w:val="both"/>
        <w:rPr>
          <w:rFonts w:ascii="Arial" w:hAnsi="Arial" w:cs="Arial"/>
        </w:rPr>
      </w:pPr>
    </w:p>
    <w:p w14:paraId="557FD1B1" w14:textId="77777777" w:rsidR="00486980" w:rsidRPr="00A41B88" w:rsidRDefault="00486980" w:rsidP="00C21CAD">
      <w:pPr>
        <w:jc w:val="both"/>
        <w:rPr>
          <w:rFonts w:ascii="Arial" w:hAnsi="Arial" w:cs="Arial"/>
          <w:b/>
          <w:bCs/>
        </w:rPr>
      </w:pPr>
      <w:r w:rsidRPr="00A41B88">
        <w:rPr>
          <w:rFonts w:ascii="Arial" w:hAnsi="Arial" w:cs="Arial"/>
          <w:b/>
          <w:bCs/>
        </w:rPr>
        <w:t>Debriefingissä</w:t>
      </w:r>
    </w:p>
    <w:p w14:paraId="239C4786" w14:textId="77777777" w:rsidR="00486980" w:rsidRPr="00A41B88" w:rsidRDefault="00486980" w:rsidP="00C21CAD">
      <w:pPr>
        <w:numPr>
          <w:ilvl w:val="0"/>
          <w:numId w:val="1"/>
        </w:numPr>
        <w:spacing w:after="0"/>
        <w:jc w:val="both"/>
        <w:rPr>
          <w:rFonts w:ascii="Arial" w:hAnsi="Arial" w:cs="Arial"/>
        </w:rPr>
      </w:pPr>
      <w:r w:rsidRPr="00A41B88">
        <w:rPr>
          <w:rFonts w:ascii="Arial" w:hAnsi="Arial" w:cs="Arial"/>
        </w:rPr>
        <w:t>Lääkkeiden antoajat</w:t>
      </w:r>
      <w:r>
        <w:rPr>
          <w:rFonts w:ascii="Arial" w:hAnsi="Arial" w:cs="Arial"/>
        </w:rPr>
        <w:t xml:space="preserve"> – mitä huomioita niistä tehtiin?</w:t>
      </w:r>
    </w:p>
    <w:p w14:paraId="3D709973" w14:textId="77777777" w:rsidR="00486980" w:rsidRPr="00A41B88" w:rsidRDefault="00486980" w:rsidP="00C21CAD">
      <w:pPr>
        <w:numPr>
          <w:ilvl w:val="0"/>
          <w:numId w:val="1"/>
        </w:numPr>
        <w:spacing w:after="0"/>
        <w:jc w:val="both"/>
        <w:rPr>
          <w:rFonts w:ascii="Arial" w:hAnsi="Arial" w:cs="Arial"/>
        </w:rPr>
      </w:pPr>
      <w:r w:rsidRPr="00A41B88">
        <w:rPr>
          <w:rFonts w:ascii="Arial" w:hAnsi="Arial" w:cs="Arial"/>
        </w:rPr>
        <w:t>Lääkkeiden murskaaminen</w:t>
      </w:r>
      <w:r>
        <w:rPr>
          <w:rFonts w:ascii="Arial" w:hAnsi="Arial" w:cs="Arial"/>
        </w:rPr>
        <w:t xml:space="preserve">; milloin lääkkeitä voi murskata? Mitä tulee huomioida? Miten tulee toimia, jos potilaalla on vaikeuksia niellä lääke ja sitä ei saa murskata? </w:t>
      </w:r>
    </w:p>
    <w:p w14:paraId="23BBAC57" w14:textId="77777777" w:rsidR="00486980" w:rsidRPr="00A41B88" w:rsidRDefault="00486980" w:rsidP="00C21CAD">
      <w:pPr>
        <w:numPr>
          <w:ilvl w:val="0"/>
          <w:numId w:val="1"/>
        </w:numPr>
        <w:spacing w:after="0"/>
        <w:jc w:val="both"/>
        <w:rPr>
          <w:rFonts w:ascii="Arial" w:hAnsi="Arial" w:cs="Arial"/>
        </w:rPr>
      </w:pPr>
      <w:r w:rsidRPr="00A41B88">
        <w:rPr>
          <w:rFonts w:ascii="Arial" w:hAnsi="Arial" w:cs="Arial"/>
        </w:rPr>
        <w:t>Potilaan identifiointi: väärä nimi rannekkeessa: Strand Juha – potilaan identifiointi</w:t>
      </w:r>
    </w:p>
    <w:p w14:paraId="71CF5E18" w14:textId="77777777" w:rsidR="00486980" w:rsidRPr="00A41B88" w:rsidRDefault="00486980" w:rsidP="00C21CAD">
      <w:pPr>
        <w:numPr>
          <w:ilvl w:val="0"/>
          <w:numId w:val="1"/>
        </w:numPr>
        <w:jc w:val="both"/>
        <w:rPr>
          <w:rFonts w:ascii="Arial" w:hAnsi="Arial" w:cs="Arial"/>
        </w:rPr>
      </w:pPr>
      <w:r w:rsidRPr="00A41B88">
        <w:rPr>
          <w:rFonts w:ascii="Arial" w:hAnsi="Arial" w:cs="Arial"/>
        </w:rPr>
        <w:t>verikoetulokset, leukosyytit matalat</w:t>
      </w:r>
      <w:r>
        <w:rPr>
          <w:rFonts w:ascii="Arial" w:hAnsi="Arial" w:cs="Arial"/>
        </w:rPr>
        <w:t>: mitä tämä voi tarkoittaa, kun huomioidaan lääkitys? (Metotreksaatti jaettu virheellisesti)</w:t>
      </w:r>
    </w:p>
    <w:p w14:paraId="3B59AC6A" w14:textId="77777777" w:rsidR="00486980" w:rsidRPr="00155FE0" w:rsidRDefault="00486980" w:rsidP="00C21CAD">
      <w:pPr>
        <w:numPr>
          <w:ilvl w:val="0"/>
          <w:numId w:val="2"/>
        </w:numPr>
        <w:spacing w:after="0"/>
        <w:jc w:val="both"/>
        <w:rPr>
          <w:rFonts w:ascii="Arial" w:hAnsi="Arial" w:cs="Arial"/>
          <w:b/>
          <w:bCs/>
        </w:rPr>
      </w:pPr>
      <w:r w:rsidRPr="00A41B88">
        <w:rPr>
          <w:rFonts w:ascii="Arial" w:hAnsi="Arial" w:cs="Arial"/>
          <w:b/>
          <w:bCs/>
        </w:rPr>
        <w:t>verapamiili dep</w:t>
      </w:r>
      <w:r w:rsidRPr="00A41B88">
        <w:rPr>
          <w:rFonts w:ascii="Arial" w:hAnsi="Arial" w:cs="Arial"/>
        </w:rPr>
        <w:t>. 200 mg 1 x 2</w:t>
      </w:r>
    </w:p>
    <w:p w14:paraId="7A383559" w14:textId="77777777" w:rsidR="00486980" w:rsidRPr="00793397" w:rsidRDefault="00486980" w:rsidP="00C21CAD">
      <w:pPr>
        <w:numPr>
          <w:ilvl w:val="1"/>
          <w:numId w:val="2"/>
        </w:numPr>
        <w:spacing w:after="0"/>
        <w:jc w:val="both"/>
        <w:rPr>
          <w:rFonts w:ascii="Arial" w:hAnsi="Arial" w:cs="Arial"/>
          <w:b/>
          <w:bCs/>
        </w:rPr>
      </w:pPr>
      <w:r>
        <w:rPr>
          <w:rFonts w:ascii="Arial" w:hAnsi="Arial" w:cs="Arial"/>
        </w:rPr>
        <w:t>Mihin verenpainelääkkeiden ryhmään verapamiili kuuluu? Kalsiumkanavan salpaajat (sydämeen vaikuttavat selektiiviset kalsiumkanavan salpaajat)</w:t>
      </w:r>
    </w:p>
    <w:p w14:paraId="5963852D" w14:textId="77777777" w:rsidR="00486980" w:rsidRPr="00155FE0" w:rsidRDefault="00486980" w:rsidP="00C21CAD">
      <w:pPr>
        <w:numPr>
          <w:ilvl w:val="1"/>
          <w:numId w:val="2"/>
        </w:numPr>
        <w:spacing w:after="0"/>
        <w:jc w:val="both"/>
        <w:rPr>
          <w:rFonts w:ascii="Arial" w:hAnsi="Arial" w:cs="Arial"/>
          <w:b/>
          <w:bCs/>
        </w:rPr>
      </w:pPr>
      <w:r w:rsidRPr="00155FE0">
        <w:rPr>
          <w:rFonts w:ascii="Arial" w:hAnsi="Arial" w:cs="Arial"/>
        </w:rPr>
        <w:t xml:space="preserve">depot-tabletti </w:t>
      </w:r>
      <w:r>
        <w:rPr>
          <w:rFonts w:ascii="Arial" w:hAnsi="Arial" w:cs="Arial"/>
        </w:rPr>
        <w:t>–</w:t>
      </w:r>
      <w:r w:rsidRPr="00155FE0">
        <w:rPr>
          <w:rFonts w:ascii="Arial" w:hAnsi="Arial" w:cs="Arial"/>
        </w:rPr>
        <w:t xml:space="preserve"> ei</w:t>
      </w:r>
      <w:r>
        <w:rPr>
          <w:rFonts w:ascii="Arial" w:hAnsi="Arial" w:cs="Arial"/>
        </w:rPr>
        <w:t xml:space="preserve"> saa murskata tai purra</w:t>
      </w:r>
    </w:p>
    <w:p w14:paraId="59F8F446" w14:textId="77777777" w:rsidR="00486980" w:rsidRPr="00086224" w:rsidRDefault="00486980" w:rsidP="00C21CAD">
      <w:pPr>
        <w:numPr>
          <w:ilvl w:val="1"/>
          <w:numId w:val="2"/>
        </w:numPr>
        <w:spacing w:after="0"/>
        <w:jc w:val="both"/>
        <w:rPr>
          <w:rFonts w:ascii="Arial" w:hAnsi="Arial" w:cs="Arial"/>
        </w:rPr>
      </w:pPr>
      <w:r w:rsidRPr="00086224">
        <w:rPr>
          <w:rFonts w:ascii="Arial" w:hAnsi="Arial" w:cs="Arial"/>
        </w:rPr>
        <w:t>Metabolia maksassa vaihtelee yksilöiden välillä</w:t>
      </w:r>
    </w:p>
    <w:p w14:paraId="3EC014F8" w14:textId="77777777" w:rsidR="00486980" w:rsidRPr="00A41B88" w:rsidRDefault="00486980" w:rsidP="00C21CAD">
      <w:pPr>
        <w:numPr>
          <w:ilvl w:val="1"/>
          <w:numId w:val="2"/>
        </w:numPr>
        <w:jc w:val="both"/>
        <w:rPr>
          <w:rFonts w:ascii="Arial" w:hAnsi="Arial" w:cs="Arial"/>
          <w:b/>
          <w:bCs/>
        </w:rPr>
      </w:pPr>
      <w:r w:rsidRPr="003732B3">
        <w:rPr>
          <w:rFonts w:ascii="Arial" w:hAnsi="Arial" w:cs="Arial"/>
          <w:b/>
          <w:bCs/>
        </w:rPr>
        <w:t>Iäkkäillä potilailla</w:t>
      </w:r>
      <w:r w:rsidRPr="003732B3">
        <w:rPr>
          <w:rFonts w:ascii="Arial" w:hAnsi="Arial" w:cs="Arial"/>
        </w:rPr>
        <w:t> verapamiilin ensikierron metabolia yleensä heikkenee ja biologinen hyötyosuus kasvaa</w:t>
      </w:r>
      <w:r>
        <w:rPr>
          <w:rFonts w:ascii="Arial" w:hAnsi="Arial" w:cs="Arial"/>
        </w:rPr>
        <w:t xml:space="preserve"> - </w:t>
      </w:r>
      <w:r w:rsidRPr="003732B3">
        <w:rPr>
          <w:rFonts w:ascii="Arial" w:hAnsi="Arial" w:cs="Arial"/>
        </w:rPr>
        <w:t>voi edellyttää pienempien annosten käyttämistä</w:t>
      </w:r>
    </w:p>
    <w:p w14:paraId="69F14B61"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b/>
          <w:bCs/>
        </w:rPr>
        <w:t xml:space="preserve">spironolaktoni </w:t>
      </w:r>
      <w:r w:rsidRPr="00A41B88">
        <w:rPr>
          <w:rFonts w:ascii="Arial" w:hAnsi="Arial" w:cs="Arial"/>
        </w:rPr>
        <w:t xml:space="preserve">25 mg 1 x 1; </w:t>
      </w:r>
    </w:p>
    <w:p w14:paraId="68E5A78B" w14:textId="77777777" w:rsidR="00486980" w:rsidRPr="00A41B88" w:rsidRDefault="00486980" w:rsidP="00C21CAD">
      <w:pPr>
        <w:numPr>
          <w:ilvl w:val="1"/>
          <w:numId w:val="2"/>
        </w:numPr>
        <w:spacing w:after="0"/>
        <w:jc w:val="both"/>
        <w:rPr>
          <w:rFonts w:ascii="Arial" w:hAnsi="Arial" w:cs="Arial"/>
          <w:b/>
          <w:bCs/>
        </w:rPr>
      </w:pPr>
      <w:r w:rsidRPr="00A41B88">
        <w:rPr>
          <w:rFonts w:ascii="Arial" w:hAnsi="Arial" w:cs="Arial"/>
        </w:rPr>
        <w:t>Mihin diureettiryhmään spironolaktoni kuuluu? Kaliumia säästävät diureetit</w:t>
      </w:r>
    </w:p>
    <w:p w14:paraId="4D59817F" w14:textId="77777777" w:rsidR="00486980" w:rsidRPr="00A41B88" w:rsidRDefault="00486980" w:rsidP="00C21CAD">
      <w:pPr>
        <w:numPr>
          <w:ilvl w:val="1"/>
          <w:numId w:val="2"/>
        </w:numPr>
        <w:spacing w:after="0"/>
        <w:jc w:val="both"/>
        <w:rPr>
          <w:rFonts w:ascii="Arial" w:hAnsi="Arial" w:cs="Arial"/>
          <w:b/>
          <w:bCs/>
        </w:rPr>
      </w:pPr>
      <w:r w:rsidRPr="00A41B88">
        <w:rPr>
          <w:rFonts w:ascii="Arial" w:hAnsi="Arial" w:cs="Arial"/>
        </w:rPr>
        <w:t>Iltaisin</w:t>
      </w:r>
      <w:r>
        <w:rPr>
          <w:rFonts w:ascii="Arial" w:hAnsi="Arial" w:cs="Arial"/>
        </w:rPr>
        <w:t xml:space="preserve">: miksi illassa, onko </w:t>
      </w:r>
      <w:r w:rsidRPr="00A41B88">
        <w:rPr>
          <w:rFonts w:ascii="Arial" w:hAnsi="Arial" w:cs="Arial"/>
        </w:rPr>
        <w:t>jakovirhe</w:t>
      </w:r>
      <w:r>
        <w:rPr>
          <w:rFonts w:ascii="Arial" w:hAnsi="Arial" w:cs="Arial"/>
        </w:rPr>
        <w:t xml:space="preserve">? Miksi tulisi olla aamuisin? </w:t>
      </w:r>
    </w:p>
    <w:p w14:paraId="7DC9C498" w14:textId="77777777" w:rsidR="00486980" w:rsidRPr="00A41B88" w:rsidRDefault="00486980" w:rsidP="00C21CAD">
      <w:pPr>
        <w:numPr>
          <w:ilvl w:val="1"/>
          <w:numId w:val="2"/>
        </w:numPr>
        <w:spacing w:after="0"/>
        <w:jc w:val="both"/>
        <w:rPr>
          <w:rFonts w:ascii="Arial" w:hAnsi="Arial" w:cs="Arial"/>
          <w:b/>
          <w:bCs/>
        </w:rPr>
      </w:pPr>
      <w:r w:rsidRPr="00A41B88">
        <w:rPr>
          <w:rFonts w:ascii="Arial" w:hAnsi="Arial" w:cs="Arial"/>
        </w:rPr>
        <w:t>Kuinka voidaan parantaa spironolaktonin imeytymistä? Annostelu ruoan yhteydessä</w:t>
      </w:r>
    </w:p>
    <w:p w14:paraId="4087E4CB" w14:textId="77777777" w:rsidR="00486980" w:rsidRPr="00A41B88" w:rsidRDefault="00486980" w:rsidP="00C21CAD">
      <w:pPr>
        <w:numPr>
          <w:ilvl w:val="1"/>
          <w:numId w:val="2"/>
        </w:numPr>
        <w:jc w:val="both"/>
        <w:rPr>
          <w:rFonts w:ascii="Arial" w:hAnsi="Arial" w:cs="Arial"/>
        </w:rPr>
      </w:pPr>
      <w:r w:rsidRPr="00A41B88">
        <w:rPr>
          <w:rFonts w:ascii="Arial" w:hAnsi="Arial" w:cs="Arial"/>
        </w:rPr>
        <w:t>Mitä tulee seurata? Potilaan elektrolyyttitasoja ja munuaisten toimintaa</w:t>
      </w:r>
    </w:p>
    <w:p w14:paraId="3861170A"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b/>
          <w:bCs/>
        </w:rPr>
        <w:t xml:space="preserve">levotyroksiini </w:t>
      </w:r>
      <w:r w:rsidRPr="00A41B88">
        <w:rPr>
          <w:rFonts w:ascii="Arial" w:hAnsi="Arial" w:cs="Arial"/>
        </w:rPr>
        <w:t xml:space="preserve">50 µg ma, ke, pe 1 x 1 ti, to, la, su 0,5 x 1; </w:t>
      </w:r>
    </w:p>
    <w:p w14:paraId="122E555E" w14:textId="77777777" w:rsidR="00486980" w:rsidRDefault="00486980" w:rsidP="00C21CAD">
      <w:pPr>
        <w:numPr>
          <w:ilvl w:val="1"/>
          <w:numId w:val="2"/>
        </w:numPr>
        <w:spacing w:after="0"/>
        <w:jc w:val="both"/>
        <w:rPr>
          <w:rFonts w:ascii="Arial" w:hAnsi="Arial" w:cs="Arial"/>
        </w:rPr>
      </w:pPr>
      <w:r w:rsidRPr="00486980">
        <w:rPr>
          <w:rFonts w:ascii="Arial" w:hAnsi="Arial" w:cs="Arial"/>
        </w:rPr>
        <w:t xml:space="preserve">Mitä tulee muistaa levotyroksiinin käytöstä? levotyroksiini tulee ottaa kerta-annoksena, tyhjään vatsaan ennen aamiaista </w:t>
      </w:r>
    </w:p>
    <w:p w14:paraId="7E19815A" w14:textId="33844C7D" w:rsidR="00486980" w:rsidRDefault="00486980" w:rsidP="00C21CAD">
      <w:pPr>
        <w:numPr>
          <w:ilvl w:val="1"/>
          <w:numId w:val="2"/>
        </w:numPr>
        <w:spacing w:after="0"/>
        <w:jc w:val="both"/>
        <w:rPr>
          <w:rFonts w:ascii="Arial" w:hAnsi="Arial" w:cs="Arial"/>
        </w:rPr>
      </w:pPr>
      <w:r w:rsidRPr="00486980">
        <w:rPr>
          <w:rFonts w:ascii="Arial" w:hAnsi="Arial" w:cs="Arial"/>
        </w:rPr>
        <w:t>Mitä asioita ohjaat levotyroksiinia käyttävälle henkilölle?</w:t>
      </w:r>
    </w:p>
    <w:p w14:paraId="7A8F44B5" w14:textId="6034CBF9" w:rsidR="00486980" w:rsidRPr="00486980" w:rsidRDefault="00486980" w:rsidP="00C21CAD">
      <w:pPr>
        <w:pStyle w:val="ListParagraph"/>
        <w:numPr>
          <w:ilvl w:val="0"/>
          <w:numId w:val="2"/>
        </w:numPr>
        <w:spacing w:before="240" w:after="0"/>
        <w:jc w:val="both"/>
        <w:rPr>
          <w:rFonts w:ascii="Arial" w:hAnsi="Arial" w:cs="Arial"/>
          <w:b/>
          <w:bCs/>
        </w:rPr>
      </w:pPr>
      <w:r w:rsidRPr="00A41B88">
        <w:rPr>
          <w:noProof/>
        </w:rPr>
        <w:drawing>
          <wp:anchor distT="0" distB="0" distL="114300" distR="114300" simplePos="0" relativeHeight="251658240" behindDoc="0" locked="0" layoutInCell="1" allowOverlap="1" wp14:anchorId="478EE536" wp14:editId="28FD13D2">
            <wp:simplePos x="0" y="0"/>
            <wp:positionH relativeFrom="column">
              <wp:posOffset>4739061</wp:posOffset>
            </wp:positionH>
            <wp:positionV relativeFrom="paragraph">
              <wp:posOffset>9107</wp:posOffset>
            </wp:positionV>
            <wp:extent cx="1766570" cy="2306955"/>
            <wp:effectExtent l="0" t="0" r="5080" b="0"/>
            <wp:wrapThrough wrapText="bothSides">
              <wp:wrapPolygon edited="0">
                <wp:start x="0" y="0"/>
                <wp:lineTo x="0" y="21404"/>
                <wp:lineTo x="21429" y="21404"/>
                <wp:lineTo x="2142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6570" cy="2306955"/>
                    </a:xfrm>
                    <a:prstGeom prst="rect">
                      <a:avLst/>
                    </a:prstGeom>
                  </pic:spPr>
                </pic:pic>
              </a:graphicData>
            </a:graphic>
            <wp14:sizeRelH relativeFrom="page">
              <wp14:pctWidth>0</wp14:pctWidth>
            </wp14:sizeRelH>
            <wp14:sizeRelV relativeFrom="page">
              <wp14:pctHeight>0</wp14:pctHeight>
            </wp14:sizeRelV>
          </wp:anchor>
        </w:drawing>
      </w:r>
      <w:r w:rsidRPr="00486980">
        <w:rPr>
          <w:rFonts w:ascii="Arial" w:hAnsi="Arial" w:cs="Arial"/>
          <w:b/>
          <w:bCs/>
        </w:rPr>
        <w:t xml:space="preserve">metotreksaatti </w:t>
      </w:r>
      <w:r w:rsidRPr="00486980">
        <w:rPr>
          <w:rFonts w:ascii="Arial" w:hAnsi="Arial" w:cs="Arial"/>
        </w:rPr>
        <w:t xml:space="preserve">10 mg x 1/vko; </w:t>
      </w:r>
    </w:p>
    <w:p w14:paraId="654BD17B" w14:textId="77777777" w:rsidR="00486980" w:rsidRPr="00A41B88" w:rsidRDefault="00486980" w:rsidP="00C21CAD">
      <w:pPr>
        <w:numPr>
          <w:ilvl w:val="1"/>
          <w:numId w:val="2"/>
        </w:numPr>
        <w:spacing w:after="0"/>
        <w:jc w:val="both"/>
        <w:rPr>
          <w:rFonts w:ascii="Arial" w:hAnsi="Arial" w:cs="Arial"/>
          <w:b/>
          <w:bCs/>
        </w:rPr>
      </w:pPr>
      <w:r w:rsidRPr="00A41B88">
        <w:rPr>
          <w:rFonts w:ascii="Arial" w:hAnsi="Arial" w:cs="Arial"/>
        </w:rPr>
        <w:t>jakovirhe; vain kerran viikossa nivelreuman hoidossa, solunsalpaaja</w:t>
      </w:r>
    </w:p>
    <w:p w14:paraId="28B05418" w14:textId="77777777" w:rsidR="00486980" w:rsidRPr="00A41B88" w:rsidRDefault="00486980" w:rsidP="00C21CAD">
      <w:pPr>
        <w:numPr>
          <w:ilvl w:val="1"/>
          <w:numId w:val="2"/>
        </w:numPr>
        <w:spacing w:after="0"/>
        <w:jc w:val="both"/>
        <w:rPr>
          <w:rFonts w:ascii="Arial" w:hAnsi="Arial" w:cs="Arial"/>
        </w:rPr>
      </w:pPr>
      <w:r w:rsidRPr="00A41B88">
        <w:rPr>
          <w:rFonts w:ascii="Arial" w:hAnsi="Arial" w:cs="Arial"/>
        </w:rPr>
        <w:t xml:space="preserve">Mitä seurataan metotreksaattia käyttävällä? säännöllisesti verenkuva, maksaentsyymit ja munuaisten toiminta. </w:t>
      </w:r>
    </w:p>
    <w:p w14:paraId="0F96F297" w14:textId="77777777" w:rsidR="00486980" w:rsidRPr="00A41B88" w:rsidRDefault="00486980" w:rsidP="00C21CAD">
      <w:pPr>
        <w:numPr>
          <w:ilvl w:val="1"/>
          <w:numId w:val="2"/>
        </w:numPr>
        <w:jc w:val="both"/>
        <w:rPr>
          <w:rFonts w:ascii="Arial" w:hAnsi="Arial" w:cs="Arial"/>
        </w:rPr>
      </w:pPr>
      <w:r w:rsidRPr="00A41B88">
        <w:rPr>
          <w:rFonts w:ascii="Arial" w:hAnsi="Arial" w:cs="Arial"/>
        </w:rPr>
        <w:t xml:space="preserve">huom. maksavaurion riskiä suurentaa metotreksaattia käyttävillä: </w:t>
      </w:r>
      <w:r w:rsidRPr="00A41B88">
        <w:rPr>
          <w:rFonts w:ascii="Arial" w:hAnsi="Arial" w:cs="Arial"/>
          <w:b/>
          <w:bCs/>
        </w:rPr>
        <w:t>insuliini</w:t>
      </w:r>
      <w:r w:rsidRPr="00A41B88">
        <w:rPr>
          <w:rFonts w:ascii="Arial" w:hAnsi="Arial" w:cs="Arial"/>
        </w:rPr>
        <w:t>hoitoinen diabetes</w:t>
      </w:r>
    </w:p>
    <w:p w14:paraId="2CE5447A"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b/>
          <w:bCs/>
        </w:rPr>
        <w:t>foolihappo</w:t>
      </w:r>
      <w:r w:rsidRPr="00A41B88">
        <w:rPr>
          <w:rFonts w:ascii="Arial" w:hAnsi="Arial" w:cs="Arial"/>
        </w:rPr>
        <w:t xml:space="preserve"> 5 mg x 1 /vko; </w:t>
      </w:r>
    </w:p>
    <w:p w14:paraId="7280C9F1" w14:textId="53C2C7CC" w:rsidR="00486980" w:rsidRPr="00A41B88" w:rsidRDefault="00486980" w:rsidP="00C21CAD">
      <w:pPr>
        <w:numPr>
          <w:ilvl w:val="1"/>
          <w:numId w:val="2"/>
        </w:numPr>
        <w:spacing w:after="0"/>
        <w:jc w:val="both"/>
        <w:rPr>
          <w:rFonts w:ascii="Arial" w:hAnsi="Arial" w:cs="Arial"/>
          <w:b/>
          <w:bCs/>
        </w:rPr>
      </w:pPr>
      <w:r>
        <w:rPr>
          <w:rFonts w:ascii="Arial" w:hAnsi="Arial" w:cs="Arial"/>
        </w:rPr>
        <w:t>J</w:t>
      </w:r>
      <w:r w:rsidRPr="00A41B88">
        <w:rPr>
          <w:rFonts w:ascii="Arial" w:hAnsi="Arial" w:cs="Arial"/>
        </w:rPr>
        <w:t xml:space="preserve">akovirhe </w:t>
      </w:r>
    </w:p>
    <w:p w14:paraId="51D029A5" w14:textId="11BC7D4A" w:rsidR="00486980" w:rsidRPr="00A41B88" w:rsidRDefault="00486980" w:rsidP="00C21CAD">
      <w:pPr>
        <w:numPr>
          <w:ilvl w:val="1"/>
          <w:numId w:val="2"/>
        </w:numPr>
        <w:jc w:val="both"/>
        <w:rPr>
          <w:rFonts w:ascii="Arial" w:hAnsi="Arial" w:cs="Arial"/>
        </w:rPr>
      </w:pPr>
      <w:r>
        <w:rPr>
          <w:rFonts w:ascii="Arial" w:hAnsi="Arial" w:cs="Arial"/>
        </w:rPr>
        <w:t>F</w:t>
      </w:r>
      <w:r w:rsidRPr="00A41B88">
        <w:rPr>
          <w:rFonts w:ascii="Arial" w:hAnsi="Arial" w:cs="Arial"/>
        </w:rPr>
        <w:t>oolihappo 5–10 h lääkkeen oton jälkeen tai 1 mg päivittäin lisää metotreksaatin siedettävyyttä ja turvallisuutta</w:t>
      </w:r>
    </w:p>
    <w:p w14:paraId="39DA8BF6"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b/>
          <w:bCs/>
        </w:rPr>
        <w:t xml:space="preserve">tematsepaami </w:t>
      </w:r>
      <w:r w:rsidRPr="00A41B88">
        <w:rPr>
          <w:rFonts w:ascii="Arial" w:hAnsi="Arial" w:cs="Arial"/>
        </w:rPr>
        <w:t xml:space="preserve">20 mg 1 x 1; </w:t>
      </w:r>
    </w:p>
    <w:p w14:paraId="10384139" w14:textId="1BF002AD" w:rsidR="00486980" w:rsidRPr="00A41B88" w:rsidRDefault="00486980" w:rsidP="00C21CAD">
      <w:pPr>
        <w:numPr>
          <w:ilvl w:val="1"/>
          <w:numId w:val="2"/>
        </w:numPr>
        <w:spacing w:after="0"/>
        <w:jc w:val="both"/>
        <w:rPr>
          <w:rFonts w:ascii="Arial" w:hAnsi="Arial" w:cs="Arial"/>
          <w:b/>
          <w:bCs/>
        </w:rPr>
      </w:pPr>
      <w:r>
        <w:rPr>
          <w:rFonts w:ascii="Arial" w:hAnsi="Arial" w:cs="Arial"/>
        </w:rPr>
        <w:t>J</w:t>
      </w:r>
      <w:r w:rsidRPr="00A41B88">
        <w:rPr>
          <w:rFonts w:ascii="Arial" w:hAnsi="Arial" w:cs="Arial"/>
        </w:rPr>
        <w:t xml:space="preserve">akovirhe, jaettu aamuun </w:t>
      </w:r>
    </w:p>
    <w:p w14:paraId="592AEDEA" w14:textId="52401A29" w:rsidR="00486980" w:rsidRPr="00A41B88" w:rsidRDefault="00486980" w:rsidP="00C21CAD">
      <w:pPr>
        <w:numPr>
          <w:ilvl w:val="1"/>
          <w:numId w:val="2"/>
        </w:numPr>
        <w:spacing w:after="0"/>
        <w:jc w:val="both"/>
        <w:rPr>
          <w:rFonts w:ascii="Arial" w:hAnsi="Arial" w:cs="Arial"/>
        </w:rPr>
      </w:pPr>
      <w:r>
        <w:rPr>
          <w:rFonts w:ascii="Arial" w:hAnsi="Arial" w:cs="Arial"/>
        </w:rPr>
        <w:t>M</w:t>
      </w:r>
      <w:r w:rsidRPr="00A41B88">
        <w:rPr>
          <w:rFonts w:ascii="Arial" w:hAnsi="Arial" w:cs="Arial"/>
        </w:rPr>
        <w:t xml:space="preserve">itkä periaatteet ohjaavat unettomuuden lääkkeellistä hoitoa? Lyhytaikainen käyttö perusteltua, </w:t>
      </w:r>
    </w:p>
    <w:p w14:paraId="5EF60B6A" w14:textId="77777777" w:rsidR="00486980" w:rsidRPr="00A41B88" w:rsidRDefault="00486980" w:rsidP="00C21CAD">
      <w:pPr>
        <w:numPr>
          <w:ilvl w:val="1"/>
          <w:numId w:val="2"/>
        </w:numPr>
        <w:spacing w:after="0"/>
        <w:jc w:val="both"/>
        <w:rPr>
          <w:rFonts w:ascii="Arial" w:hAnsi="Arial" w:cs="Arial"/>
        </w:rPr>
      </w:pPr>
      <w:r w:rsidRPr="00A41B88">
        <w:rPr>
          <w:rFonts w:ascii="Arial" w:hAnsi="Arial" w:cs="Arial"/>
        </w:rPr>
        <w:t>Entä ikääntyneiden unettomuuden hoidon? Iäkkäiden unettomuuden hoitoon: aikabiologiset unilääkkeet, tematsepaami, varauksin tsopideemi ja tsopikloni</w:t>
      </w:r>
    </w:p>
    <w:p w14:paraId="2020C072" w14:textId="77777777" w:rsidR="00486980" w:rsidRPr="00A41B88" w:rsidRDefault="00486980" w:rsidP="00C21CAD">
      <w:pPr>
        <w:numPr>
          <w:ilvl w:val="1"/>
          <w:numId w:val="2"/>
        </w:numPr>
        <w:jc w:val="both"/>
        <w:rPr>
          <w:rFonts w:ascii="Arial" w:hAnsi="Arial" w:cs="Arial"/>
        </w:rPr>
      </w:pPr>
      <w:r w:rsidRPr="00A41B88">
        <w:rPr>
          <w:rFonts w:ascii="Arial" w:hAnsi="Arial" w:cs="Arial"/>
        </w:rPr>
        <w:t>Mitä tulee huomioida tematsepaamin käytöstä? Keskipitkävaikutteinen bentsodiatsepiini, bentsodiatsepiinit voivat aiheuttaa riippuvuutta</w:t>
      </w:r>
    </w:p>
    <w:p w14:paraId="23838E36"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b/>
          <w:bCs/>
        </w:rPr>
        <w:t xml:space="preserve">timololi </w:t>
      </w:r>
      <w:r w:rsidRPr="00A41B88">
        <w:rPr>
          <w:rFonts w:ascii="Arial" w:hAnsi="Arial" w:cs="Arial"/>
        </w:rPr>
        <w:t>5 mg/ml 1 gtt x 2 o.a.; pakkaus avonaisena pöydällä</w:t>
      </w:r>
    </w:p>
    <w:p w14:paraId="08F37B52" w14:textId="77777777" w:rsidR="00486980" w:rsidRPr="00A41B88" w:rsidRDefault="00486980" w:rsidP="00C21CAD">
      <w:pPr>
        <w:numPr>
          <w:ilvl w:val="1"/>
          <w:numId w:val="2"/>
        </w:numPr>
        <w:spacing w:after="0"/>
        <w:jc w:val="both"/>
        <w:rPr>
          <w:rFonts w:ascii="Arial" w:hAnsi="Arial" w:cs="Arial"/>
        </w:rPr>
      </w:pPr>
      <w:r w:rsidRPr="00A41B88">
        <w:rPr>
          <w:rFonts w:ascii="Arial" w:hAnsi="Arial" w:cs="Arial"/>
        </w:rPr>
        <w:t>Mihin glaukooman hoidon lääkeaineryhmään timololi kuuluu? Beetasalpaajat</w:t>
      </w:r>
    </w:p>
    <w:p w14:paraId="7FCEBA1F" w14:textId="77777777" w:rsidR="00486980" w:rsidRPr="00A41B88" w:rsidRDefault="00486980" w:rsidP="00C21CAD">
      <w:pPr>
        <w:numPr>
          <w:ilvl w:val="1"/>
          <w:numId w:val="2"/>
        </w:numPr>
        <w:spacing w:after="0"/>
        <w:jc w:val="both"/>
        <w:rPr>
          <w:rFonts w:ascii="Arial" w:hAnsi="Arial" w:cs="Arial"/>
        </w:rPr>
      </w:pPr>
      <w:r w:rsidRPr="00A41B88">
        <w:rPr>
          <w:rFonts w:ascii="Arial" w:hAnsi="Arial" w:cs="Arial"/>
        </w:rPr>
        <w:t>Mikä vaikutusmekanismi: alentavat silmänpainetta, pienentävät mustuaista, vähentävät kammionesteen muodostumista</w:t>
      </w:r>
    </w:p>
    <w:p w14:paraId="38C74673" w14:textId="77777777" w:rsidR="00486980" w:rsidRPr="00A41B88" w:rsidRDefault="00486980" w:rsidP="00C21CAD">
      <w:pPr>
        <w:numPr>
          <w:ilvl w:val="1"/>
          <w:numId w:val="2"/>
        </w:numPr>
        <w:spacing w:after="0"/>
        <w:jc w:val="both"/>
        <w:rPr>
          <w:rFonts w:ascii="Arial" w:hAnsi="Arial" w:cs="Arial"/>
        </w:rPr>
      </w:pPr>
      <w:r w:rsidRPr="00A41B88">
        <w:rPr>
          <w:rFonts w:ascii="Arial" w:hAnsi="Arial" w:cs="Arial"/>
        </w:rPr>
        <w:t>Mitä tulee huomioida beetasalpaajasilmätipoista? Imeytyvät osin systeemiverenkiertoon</w:t>
      </w:r>
    </w:p>
    <w:p w14:paraId="4FE6881D" w14:textId="77777777" w:rsidR="00486980" w:rsidRPr="00A41B88" w:rsidRDefault="00486980" w:rsidP="00C21CAD">
      <w:pPr>
        <w:numPr>
          <w:ilvl w:val="1"/>
          <w:numId w:val="2"/>
        </w:numPr>
        <w:jc w:val="both"/>
        <w:rPr>
          <w:rFonts w:ascii="Arial" w:hAnsi="Arial" w:cs="Arial"/>
        </w:rPr>
      </w:pPr>
      <w:r w:rsidRPr="00A41B88">
        <w:rPr>
          <w:rFonts w:ascii="Arial" w:hAnsi="Arial" w:cs="Arial"/>
        </w:rPr>
        <w:t>Mitä muita huomioita? Silmätippojen aseptiikka</w:t>
      </w:r>
    </w:p>
    <w:p w14:paraId="5A008E4F" w14:textId="77777777" w:rsidR="00486980" w:rsidRPr="00A41B88" w:rsidRDefault="00486980" w:rsidP="00C21CAD">
      <w:pPr>
        <w:numPr>
          <w:ilvl w:val="0"/>
          <w:numId w:val="2"/>
        </w:numPr>
        <w:spacing w:after="0"/>
        <w:jc w:val="both"/>
        <w:rPr>
          <w:rFonts w:ascii="Arial" w:hAnsi="Arial" w:cs="Arial"/>
          <w:b/>
          <w:bCs/>
        </w:rPr>
      </w:pPr>
      <w:r w:rsidRPr="00A41B88">
        <w:rPr>
          <w:rFonts w:ascii="Arial" w:hAnsi="Arial" w:cs="Arial"/>
          <w:b/>
          <w:bCs/>
        </w:rPr>
        <w:t>etorikoksibi</w:t>
      </w:r>
      <w:r w:rsidRPr="00A41B88">
        <w:rPr>
          <w:rFonts w:ascii="Arial" w:hAnsi="Arial" w:cs="Arial"/>
        </w:rPr>
        <w:t xml:space="preserve"> 60 mg 1 x 1 </w:t>
      </w:r>
    </w:p>
    <w:p w14:paraId="62605B5E" w14:textId="77777777" w:rsidR="00486980" w:rsidRDefault="00486980" w:rsidP="00C21CAD">
      <w:pPr>
        <w:numPr>
          <w:ilvl w:val="1"/>
          <w:numId w:val="2"/>
        </w:numPr>
        <w:spacing w:after="0"/>
        <w:jc w:val="both"/>
        <w:rPr>
          <w:rFonts w:ascii="Arial" w:hAnsi="Arial" w:cs="Arial"/>
        </w:rPr>
      </w:pPr>
      <w:r w:rsidRPr="00A41B88">
        <w:rPr>
          <w:rFonts w:ascii="Arial" w:hAnsi="Arial" w:cs="Arial"/>
        </w:rPr>
        <w:t>Mihin kipulääkeryhmään etorikoksibi kuuluu? COX-2-selektiivinen tulehduskipulääke</w:t>
      </w:r>
    </w:p>
    <w:p w14:paraId="259E09DB" w14:textId="77777777" w:rsidR="00486980" w:rsidRPr="00A41B88" w:rsidRDefault="00486980" w:rsidP="00C21CAD">
      <w:pPr>
        <w:numPr>
          <w:ilvl w:val="1"/>
          <w:numId w:val="2"/>
        </w:numPr>
        <w:spacing w:after="0"/>
        <w:jc w:val="both"/>
        <w:rPr>
          <w:rFonts w:ascii="Arial" w:hAnsi="Arial" w:cs="Arial"/>
        </w:rPr>
      </w:pPr>
      <w:r w:rsidRPr="00A41B88">
        <w:rPr>
          <w:rFonts w:ascii="Arial" w:hAnsi="Arial" w:cs="Arial"/>
        </w:rPr>
        <w:t>Mitä ovat tulehduskipulääkkeiden vaikutukset? Antipyreettisiä, analgeettisia, anti-inflammatori</w:t>
      </w:r>
      <w:r>
        <w:rPr>
          <w:rFonts w:ascii="Arial" w:hAnsi="Arial" w:cs="Arial"/>
        </w:rPr>
        <w:t>sia</w:t>
      </w:r>
    </w:p>
    <w:p w14:paraId="3AECCED5" w14:textId="77777777" w:rsidR="00486980" w:rsidRPr="00636B9B" w:rsidRDefault="00486980" w:rsidP="00C21CAD">
      <w:pPr>
        <w:numPr>
          <w:ilvl w:val="1"/>
          <w:numId w:val="2"/>
        </w:numPr>
        <w:spacing w:after="0"/>
        <w:jc w:val="both"/>
        <w:rPr>
          <w:rFonts w:ascii="Arial" w:hAnsi="Arial" w:cs="Arial"/>
        </w:rPr>
      </w:pPr>
      <w:r>
        <w:rPr>
          <w:rFonts w:ascii="Arial" w:hAnsi="Arial" w:cs="Arial"/>
        </w:rPr>
        <w:t>Mitä tarkoittaa selektiivinen tulehduskipulääke vs. epäselektiivinen?</w:t>
      </w:r>
      <w:r w:rsidRPr="00A41B88">
        <w:rPr>
          <w:rFonts w:ascii="Arial" w:hAnsi="Arial" w:cs="Arial"/>
        </w:rPr>
        <w:t xml:space="preserve"> Vaikuttaa vähemmän fysiologisten prostaglandiinien tuotantoon, vähemmän tulehduskipulääkkeiden haittavaikutuksia</w:t>
      </w:r>
      <w:r>
        <w:rPr>
          <w:rFonts w:ascii="Arial" w:hAnsi="Arial" w:cs="Arial"/>
        </w:rPr>
        <w:t xml:space="preserve">. </w:t>
      </w:r>
      <w:r w:rsidRPr="00636B9B">
        <w:rPr>
          <w:rFonts w:ascii="Arial" w:hAnsi="Arial" w:cs="Arial"/>
        </w:rPr>
        <w:t>Tulehdusreaktiossa syntyy prostanoideja -&gt; tulehduskipulääkkeillä estetään näiden tuotantoa</w:t>
      </w:r>
      <w:r>
        <w:rPr>
          <w:rFonts w:ascii="Arial" w:hAnsi="Arial" w:cs="Arial"/>
        </w:rPr>
        <w:t xml:space="preserve">. </w:t>
      </w:r>
    </w:p>
    <w:p w14:paraId="29C784AB" w14:textId="77777777" w:rsidR="00486980" w:rsidRPr="00A50667" w:rsidRDefault="00486980" w:rsidP="00C21CAD">
      <w:pPr>
        <w:numPr>
          <w:ilvl w:val="1"/>
          <w:numId w:val="2"/>
        </w:numPr>
        <w:spacing w:after="0"/>
        <w:jc w:val="both"/>
        <w:rPr>
          <w:rFonts w:ascii="Arial" w:hAnsi="Arial" w:cs="Arial"/>
        </w:rPr>
      </w:pPr>
      <w:r w:rsidRPr="00A50667">
        <w:rPr>
          <w:rFonts w:ascii="Arial" w:hAnsi="Arial" w:cs="Arial"/>
        </w:rPr>
        <w:t xml:space="preserve">Fysiologisilla prostanoideilla </w:t>
      </w:r>
      <w:r>
        <w:rPr>
          <w:rFonts w:ascii="Arial" w:hAnsi="Arial" w:cs="Arial"/>
        </w:rPr>
        <w:t xml:space="preserve">on </w:t>
      </w:r>
      <w:r w:rsidRPr="00A50667">
        <w:rPr>
          <w:rFonts w:ascii="Arial" w:hAnsi="Arial" w:cs="Arial"/>
        </w:rPr>
        <w:t xml:space="preserve">useita vaikutuksia: mahan limakalvon suojaus, munuaisten verenkierron ylläpitäminen, verihiutaleiden aggregaation säätely </w:t>
      </w:r>
    </w:p>
    <w:p w14:paraId="66394BF1" w14:textId="77777777" w:rsidR="00486980" w:rsidRPr="00AF5C92" w:rsidRDefault="00486980" w:rsidP="00C21CAD">
      <w:pPr>
        <w:numPr>
          <w:ilvl w:val="1"/>
          <w:numId w:val="2"/>
        </w:numPr>
        <w:spacing w:after="0"/>
        <w:jc w:val="both"/>
        <w:rPr>
          <w:rFonts w:ascii="Arial" w:hAnsi="Arial" w:cs="Arial"/>
        </w:rPr>
      </w:pPr>
      <w:r w:rsidRPr="00BB20D0">
        <w:rPr>
          <w:rFonts w:ascii="Arial" w:hAnsi="Arial" w:cs="Arial"/>
        </w:rPr>
        <w:t xml:space="preserve">Mitä ovat tulehduskipulääkkeiden yleisimmät haittavaikutukset? </w:t>
      </w:r>
      <w:r w:rsidRPr="00AF5C92">
        <w:rPr>
          <w:rFonts w:ascii="Arial" w:hAnsi="Arial" w:cs="Arial"/>
        </w:rPr>
        <w:t>Ruoansulatuskanavaan</w:t>
      </w:r>
      <w:r w:rsidRPr="00BB20D0">
        <w:rPr>
          <w:rFonts w:ascii="Arial" w:hAnsi="Arial" w:cs="Arial"/>
        </w:rPr>
        <w:t>, m</w:t>
      </w:r>
      <w:r w:rsidRPr="00AF5C92">
        <w:rPr>
          <w:rFonts w:ascii="Arial" w:hAnsi="Arial" w:cs="Arial"/>
        </w:rPr>
        <w:t>unuaisvaikutukset</w:t>
      </w:r>
      <w:r w:rsidRPr="00BB20D0">
        <w:rPr>
          <w:rFonts w:ascii="Arial" w:hAnsi="Arial" w:cs="Arial"/>
        </w:rPr>
        <w:t>, s</w:t>
      </w:r>
      <w:r w:rsidRPr="00AF5C92">
        <w:rPr>
          <w:rFonts w:ascii="Arial" w:hAnsi="Arial" w:cs="Arial"/>
        </w:rPr>
        <w:t>ydämeen ja keuhkoihin</w:t>
      </w:r>
      <w:r w:rsidRPr="00BB20D0">
        <w:rPr>
          <w:rFonts w:ascii="Arial" w:hAnsi="Arial" w:cs="Arial"/>
        </w:rPr>
        <w:t xml:space="preserve"> (</w:t>
      </w:r>
      <w:r w:rsidRPr="00AF5C92">
        <w:rPr>
          <w:rFonts w:ascii="Arial" w:hAnsi="Arial" w:cs="Arial"/>
        </w:rPr>
        <w:t>astmaatikoista n. 10–20 % keuhkoputkien supistumista</w:t>
      </w:r>
      <w:r w:rsidRPr="00BB20D0">
        <w:rPr>
          <w:rFonts w:ascii="Arial" w:hAnsi="Arial" w:cs="Arial"/>
        </w:rPr>
        <w:t>), ve</w:t>
      </w:r>
      <w:r w:rsidRPr="00AF5C92">
        <w:rPr>
          <w:rFonts w:ascii="Arial" w:hAnsi="Arial" w:cs="Arial"/>
        </w:rPr>
        <w:t>renvuototaipumuksen lisääntyminen ja vuotoajan pidentyminen</w:t>
      </w:r>
      <w:r w:rsidRPr="00BB20D0">
        <w:rPr>
          <w:rFonts w:ascii="Arial" w:hAnsi="Arial" w:cs="Arial"/>
        </w:rPr>
        <w:t xml:space="preserve">, </w:t>
      </w:r>
      <w:r>
        <w:rPr>
          <w:rFonts w:ascii="Arial" w:hAnsi="Arial" w:cs="Arial"/>
        </w:rPr>
        <w:t>e</w:t>
      </w:r>
      <w:r w:rsidRPr="00AF5C92">
        <w:rPr>
          <w:rFonts w:ascii="Arial" w:hAnsi="Arial" w:cs="Arial"/>
        </w:rPr>
        <w:t>i raskauden viimeisen kolmanneksen aikana</w:t>
      </w:r>
    </w:p>
    <w:p w14:paraId="3F2342C1" w14:textId="77777777" w:rsidR="00486980" w:rsidRPr="00A76378" w:rsidRDefault="00486980" w:rsidP="00C21CAD">
      <w:pPr>
        <w:numPr>
          <w:ilvl w:val="1"/>
          <w:numId w:val="2"/>
        </w:numPr>
        <w:spacing w:after="0"/>
        <w:jc w:val="both"/>
        <w:rPr>
          <w:rFonts w:ascii="Arial" w:hAnsi="Arial" w:cs="Arial"/>
        </w:rPr>
      </w:pPr>
      <w:r w:rsidRPr="00AF5C92">
        <w:rPr>
          <w:rFonts w:ascii="Arial" w:hAnsi="Arial" w:cs="Arial"/>
        </w:rPr>
        <w:t>Yhteisvaikutuks</w:t>
      </w:r>
      <w:r w:rsidRPr="00074AB2">
        <w:rPr>
          <w:rFonts w:ascii="Arial" w:hAnsi="Arial" w:cs="Arial"/>
        </w:rPr>
        <w:t xml:space="preserve">et: </w:t>
      </w:r>
      <w:r w:rsidRPr="00AF5C92">
        <w:rPr>
          <w:rFonts w:ascii="Arial" w:hAnsi="Arial" w:cs="Arial"/>
        </w:rPr>
        <w:t>Vähentävät metotreksaatin ja litiumin poistumista munuaisten kautta</w:t>
      </w:r>
      <w:r w:rsidRPr="00074AB2">
        <w:rPr>
          <w:rFonts w:ascii="Arial" w:hAnsi="Arial" w:cs="Arial"/>
        </w:rPr>
        <w:t>, s</w:t>
      </w:r>
      <w:r w:rsidRPr="00AF5C92">
        <w:rPr>
          <w:rFonts w:ascii="Arial" w:hAnsi="Arial" w:cs="Arial"/>
        </w:rPr>
        <w:t>uurentavat verenvuodon riskiä varfariinin ja hepariinin kanssa</w:t>
      </w:r>
      <w:r w:rsidRPr="00074AB2">
        <w:rPr>
          <w:rFonts w:ascii="Arial" w:hAnsi="Arial" w:cs="Arial"/>
        </w:rPr>
        <w:t>, v</w:t>
      </w:r>
      <w:r w:rsidRPr="00AF5C92">
        <w:rPr>
          <w:rFonts w:ascii="Arial" w:hAnsi="Arial" w:cs="Arial"/>
        </w:rPr>
        <w:t>erenvuodon riski suurenee myös SSRI –lääkkeiden kanssa</w:t>
      </w:r>
      <w:r>
        <w:rPr>
          <w:rFonts w:ascii="Arial" w:hAnsi="Arial" w:cs="Arial"/>
        </w:rPr>
        <w:t>, v</w:t>
      </w:r>
      <w:r w:rsidRPr="00AF5C92">
        <w:rPr>
          <w:rFonts w:ascii="Arial" w:hAnsi="Arial" w:cs="Arial"/>
        </w:rPr>
        <w:t>oivat nostaa verenpainetta ja heikentää verenpainelääkkeiden tehoa</w:t>
      </w:r>
      <w:r>
        <w:rPr>
          <w:rFonts w:ascii="Arial" w:hAnsi="Arial" w:cs="Arial"/>
        </w:rPr>
        <w:t>, g</w:t>
      </w:r>
      <w:r w:rsidRPr="00AF5C92">
        <w:rPr>
          <w:rFonts w:ascii="Arial" w:hAnsi="Arial" w:cs="Arial"/>
        </w:rPr>
        <w:t>lukokortikoidit yhdessä tulehduskipulääkkeiden kanssa lisäävät riskiä mahaan kohdistuviin vaurioihin</w:t>
      </w:r>
      <w:r>
        <w:rPr>
          <w:rFonts w:ascii="Arial" w:hAnsi="Arial" w:cs="Arial"/>
        </w:rPr>
        <w:t>, alkoholin käyttö lisää ulkusriskiä</w:t>
      </w:r>
    </w:p>
    <w:p w14:paraId="46C4B6A9" w14:textId="77777777" w:rsidR="00486980" w:rsidRPr="00A41B88" w:rsidRDefault="00486980" w:rsidP="00C21CAD">
      <w:pPr>
        <w:numPr>
          <w:ilvl w:val="1"/>
          <w:numId w:val="2"/>
        </w:numPr>
        <w:jc w:val="both"/>
        <w:rPr>
          <w:rFonts w:ascii="Arial" w:hAnsi="Arial" w:cs="Arial"/>
        </w:rPr>
      </w:pPr>
      <w:r w:rsidRPr="00A41B88">
        <w:rPr>
          <w:rFonts w:ascii="Arial" w:hAnsi="Arial" w:cs="Arial"/>
        </w:rPr>
        <w:t>Kenelle COX-2-selektiiviset tulehduskipulääkkeet eivät sovi? Iskeeminen sydänsairaus, aivoverisuonten sairaus tai ääreisvaltimosairaus</w:t>
      </w:r>
    </w:p>
    <w:p w14:paraId="03A0555A" w14:textId="77777777" w:rsidR="00486980" w:rsidRDefault="00486980" w:rsidP="00C21CAD">
      <w:pPr>
        <w:jc w:val="both"/>
        <w:rPr>
          <w:rFonts w:ascii="Arial" w:hAnsi="Arial" w:cs="Arial"/>
        </w:rPr>
      </w:pPr>
    </w:p>
    <w:p w14:paraId="38F71D03" w14:textId="0C30F1DA" w:rsidR="00486980" w:rsidRPr="00A41B88" w:rsidRDefault="00486980" w:rsidP="00C21CAD">
      <w:pPr>
        <w:jc w:val="both"/>
        <w:rPr>
          <w:rFonts w:ascii="Arial" w:hAnsi="Arial" w:cs="Arial"/>
        </w:rPr>
      </w:pPr>
      <w:r>
        <w:rPr>
          <w:rFonts w:ascii="Arial" w:hAnsi="Arial" w:cs="Arial"/>
        </w:rPr>
        <w:t>Keskustelussa voidaan ottaa esille myös esim. kaatumisriskiä lisäävät lääkkeet sekä ravinto ja lääkkeet</w:t>
      </w:r>
    </w:p>
    <w:p w14:paraId="7B20C238" w14:textId="77777777" w:rsidR="00486980" w:rsidRPr="00A41B88" w:rsidRDefault="00486980" w:rsidP="00C21CAD">
      <w:pPr>
        <w:jc w:val="both"/>
        <w:rPr>
          <w:rFonts w:ascii="Arial" w:hAnsi="Arial" w:cs="Arial"/>
        </w:rPr>
      </w:pPr>
      <w:r w:rsidRPr="00A41B88">
        <w:rPr>
          <w:rFonts w:ascii="Arial" w:hAnsi="Arial" w:cs="Arial"/>
        </w:rPr>
        <w:t xml:space="preserve">Ikääntyneiden kaatumisriskiä lisäävät lääkkeet: </w:t>
      </w:r>
      <w:hyperlink r:id="rId10" w:history="1">
        <w:r w:rsidRPr="00A41B88">
          <w:rPr>
            <w:rStyle w:val="Hyperlink"/>
            <w:rFonts w:ascii="Arial" w:hAnsi="Arial" w:cs="Arial"/>
          </w:rPr>
          <w:t>https://www.ksshp.fi/tules-kartta/Kaatumisvaaraa_laakkeet_KSSHP.pdf</w:t>
        </w:r>
      </w:hyperlink>
      <w:r w:rsidRPr="00A41B88">
        <w:rPr>
          <w:rFonts w:ascii="Arial" w:hAnsi="Arial" w:cs="Arial"/>
        </w:rPr>
        <w:t xml:space="preserve"> </w:t>
      </w:r>
    </w:p>
    <w:p w14:paraId="13681218" w14:textId="0AF7864F" w:rsidR="007B349F" w:rsidRPr="00C21CAD" w:rsidRDefault="00486980" w:rsidP="00C21CAD">
      <w:pPr>
        <w:jc w:val="both"/>
        <w:rPr>
          <w:rFonts w:ascii="Arial" w:hAnsi="Arial" w:cs="Arial"/>
        </w:rPr>
      </w:pPr>
      <w:r w:rsidRPr="00A41B88">
        <w:rPr>
          <w:rFonts w:ascii="Arial" w:hAnsi="Arial" w:cs="Arial"/>
        </w:rPr>
        <w:t>Terveysportti - Sairaanhoitajan käsikirja –</w:t>
      </w:r>
      <w:r w:rsidRPr="00493D37">
        <w:rPr>
          <w:rFonts w:ascii="Arial" w:hAnsi="Arial" w:cs="Arial"/>
        </w:rPr>
        <w:t xml:space="preserve"> Lääkehoito – Ravinto ja lääkeaineet</w:t>
      </w:r>
    </w:p>
    <w:sectPr w:rsidR="007B349F" w:rsidRPr="00C21CA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EB6A" w14:textId="77777777" w:rsidR="006E5252" w:rsidRDefault="006E5252">
      <w:pPr>
        <w:spacing w:after="0" w:line="240" w:lineRule="auto"/>
      </w:pPr>
      <w:r>
        <w:separator/>
      </w:r>
    </w:p>
  </w:endnote>
  <w:endnote w:type="continuationSeparator" w:id="0">
    <w:p w14:paraId="273D89FB" w14:textId="77777777" w:rsidR="006E5252" w:rsidRDefault="006E5252">
      <w:pPr>
        <w:spacing w:after="0" w:line="240" w:lineRule="auto"/>
      </w:pPr>
      <w:r>
        <w:continuationSeparator/>
      </w:r>
    </w:p>
  </w:endnote>
  <w:endnote w:type="continuationNotice" w:id="1">
    <w:p w14:paraId="59CD43E4" w14:textId="77777777" w:rsidR="006E5252" w:rsidRDefault="006E5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DB07" w14:textId="77777777" w:rsidR="008B4012" w:rsidRDefault="008B4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4DDB" w14:textId="77777777" w:rsidR="008B4012" w:rsidRDefault="00486980">
    <w:pPr>
      <w:pStyle w:val="Footer"/>
    </w:pPr>
    <w:r>
      <w:rPr>
        <w:noProof/>
      </w:rPr>
      <mc:AlternateContent>
        <mc:Choice Requires="wps">
          <w:drawing>
            <wp:inline distT="0" distB="0" distL="0" distR="0" wp14:anchorId="1EACA951" wp14:editId="60E84AF6">
              <wp:extent cx="306705" cy="30670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w16du="http://schemas.microsoft.com/office/word/2023/wordml/word16du">
          <w:pict>
            <v:rect w14:anchorId="2C508416" id="Suorakulmio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Pr>
        <w:noProof/>
      </w:rPr>
      <w:drawing>
        <wp:inline distT="0" distB="0" distL="0" distR="0" wp14:anchorId="4A90A498" wp14:editId="2A074445">
          <wp:extent cx="6120130" cy="636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6120130" cy="6369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8542" w14:textId="77777777" w:rsidR="008B4012" w:rsidRDefault="008B4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E733" w14:textId="77777777" w:rsidR="006E5252" w:rsidRDefault="006E5252">
      <w:pPr>
        <w:spacing w:after="0" w:line="240" w:lineRule="auto"/>
      </w:pPr>
      <w:r>
        <w:separator/>
      </w:r>
    </w:p>
  </w:footnote>
  <w:footnote w:type="continuationSeparator" w:id="0">
    <w:p w14:paraId="6EF60690" w14:textId="77777777" w:rsidR="006E5252" w:rsidRDefault="006E5252">
      <w:pPr>
        <w:spacing w:after="0" w:line="240" w:lineRule="auto"/>
      </w:pPr>
      <w:r>
        <w:continuationSeparator/>
      </w:r>
    </w:p>
  </w:footnote>
  <w:footnote w:type="continuationNotice" w:id="1">
    <w:p w14:paraId="3F3BA720" w14:textId="77777777" w:rsidR="006E5252" w:rsidRDefault="006E5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73FA" w14:textId="77777777" w:rsidR="008B4012" w:rsidRDefault="008B4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525F" w14:textId="77777777" w:rsidR="008B4012" w:rsidRDefault="00486980">
    <w:pPr>
      <w:pStyle w:val="Header"/>
    </w:pPr>
    <w:r>
      <w:rPr>
        <w:noProof/>
      </w:rPr>
      <w:drawing>
        <wp:inline distT="0" distB="0" distL="0" distR="0" wp14:anchorId="062D695D" wp14:editId="172FC531">
          <wp:extent cx="1770694" cy="7920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pic:cNvPicPr/>
                </pic:nvPicPr>
                <pic:blipFill>
                  <a:blip r:embed="rId1">
                    <a:extLst>
                      <a:ext uri="{28A0092B-C50C-407E-A947-70E740481C1C}">
                        <a14:useLocalDpi xmlns:a14="http://schemas.microsoft.com/office/drawing/2010/main" val="0"/>
                      </a:ext>
                    </a:extLst>
                  </a:blip>
                  <a:stretch>
                    <a:fillRect/>
                  </a:stretch>
                </pic:blipFill>
                <pic:spPr>
                  <a:xfrm>
                    <a:off x="0" y="0"/>
                    <a:ext cx="1790256" cy="8008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822F" w14:textId="77777777" w:rsidR="008B4012" w:rsidRDefault="008B4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A04"/>
    <w:multiLevelType w:val="hybridMultilevel"/>
    <w:tmpl w:val="84AE82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070E9D"/>
    <w:multiLevelType w:val="hybridMultilevel"/>
    <w:tmpl w:val="A66AACCE"/>
    <w:lvl w:ilvl="0" w:tplc="040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003EB6"/>
    <w:multiLevelType w:val="hybridMultilevel"/>
    <w:tmpl w:val="BEF2BE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43108271">
    <w:abstractNumId w:val="0"/>
  </w:num>
  <w:num w:numId="2" w16cid:durableId="1453599098">
    <w:abstractNumId w:val="2"/>
  </w:num>
  <w:num w:numId="3" w16cid:durableId="149803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80"/>
    <w:rsid w:val="00486980"/>
    <w:rsid w:val="00570E7E"/>
    <w:rsid w:val="006E5252"/>
    <w:rsid w:val="007B349F"/>
    <w:rsid w:val="008B4012"/>
    <w:rsid w:val="00AB3530"/>
    <w:rsid w:val="00B55154"/>
    <w:rsid w:val="00C21CAD"/>
    <w:rsid w:val="00DF4A1B"/>
    <w:rsid w:val="00ED1C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47E3"/>
  <w15:chartTrackingRefBased/>
  <w15:docId w15:val="{B46F9724-0FE5-4345-BC1E-E2BAA8E2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98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9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980"/>
    <w:rPr>
      <w:kern w:val="0"/>
      <w14:ligatures w14:val="none"/>
    </w:rPr>
  </w:style>
  <w:style w:type="paragraph" w:styleId="Footer">
    <w:name w:val="footer"/>
    <w:basedOn w:val="Normal"/>
    <w:link w:val="FooterChar"/>
    <w:uiPriority w:val="99"/>
    <w:unhideWhenUsed/>
    <w:rsid w:val="004869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980"/>
    <w:rPr>
      <w:kern w:val="0"/>
      <w14:ligatures w14:val="none"/>
    </w:rPr>
  </w:style>
  <w:style w:type="character" w:styleId="Hyperlink">
    <w:name w:val="Hyperlink"/>
    <w:basedOn w:val="DefaultParagraphFont"/>
    <w:uiPriority w:val="99"/>
    <w:unhideWhenUsed/>
    <w:rsid w:val="00486980"/>
    <w:rPr>
      <w:color w:val="0563C1" w:themeColor="hyperlink"/>
      <w:u w:val="single"/>
    </w:rPr>
  </w:style>
  <w:style w:type="character" w:styleId="FollowedHyperlink">
    <w:name w:val="FollowedHyperlink"/>
    <w:basedOn w:val="DefaultParagraphFont"/>
    <w:uiPriority w:val="99"/>
    <w:semiHidden/>
    <w:unhideWhenUsed/>
    <w:rsid w:val="00486980"/>
    <w:rPr>
      <w:color w:val="954F72" w:themeColor="followedHyperlink"/>
      <w:u w:val="single"/>
    </w:rPr>
  </w:style>
  <w:style w:type="paragraph" w:styleId="ListParagraph">
    <w:name w:val="List Paragraph"/>
    <w:basedOn w:val="Normal"/>
    <w:uiPriority w:val="34"/>
    <w:qFormat/>
    <w:rsid w:val="00486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ksshp.fi/tules-kartta/Kaatumisvaaraa_laakkeet_KSSHP.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870</Words>
  <Characters>4965</Characters>
  <Application>Microsoft Office Word</Application>
  <DocSecurity>4</DocSecurity>
  <Lines>41</Lines>
  <Paragraphs>11</Paragraphs>
  <ScaleCrop>false</ScaleCrop>
  <Company>KamIT Tietohallinto</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Romppanen Taina</dc:creator>
  <cp:keywords/>
  <dc:description/>
  <cp:lastModifiedBy>Romppanen Taina</cp:lastModifiedBy>
  <cp:revision>3</cp:revision>
  <dcterms:created xsi:type="dcterms:W3CDTF">2023-06-05T01:20:00Z</dcterms:created>
  <dcterms:modified xsi:type="dcterms:W3CDTF">2023-06-07T02:18:00Z</dcterms:modified>
</cp:coreProperties>
</file>