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76B2F2EB" w:rsidR="00AD242E" w:rsidRPr="00F805E3" w:rsidRDefault="00E90547" w:rsidP="00D02052">
      <w:pPr>
        <w:pStyle w:val="Title"/>
        <w:rPr>
          <w:lang w:val="sv-SE"/>
        </w:rPr>
      </w:pPr>
      <w:proofErr w:type="spellStart"/>
      <w:r w:rsidRPr="00F805E3">
        <w:rPr>
          <w:lang w:val="sv-SE"/>
        </w:rPr>
        <w:t>Modula</w:t>
      </w:r>
      <w:r w:rsidR="001A1A1D">
        <w:rPr>
          <w:lang w:val="sv-SE"/>
        </w:rPr>
        <w:t>rity</w:t>
      </w:r>
      <w:proofErr w:type="spellEnd"/>
    </w:p>
    <w:p w14:paraId="21C827C5" w14:textId="77777777" w:rsidR="008F15CF" w:rsidRPr="00F805E3" w:rsidRDefault="008F15CF" w:rsidP="008F15CF">
      <w:pPr>
        <w:pStyle w:val="BodyText"/>
        <w:rPr>
          <w:lang w:val="sv-SE"/>
        </w:rPr>
      </w:pPr>
    </w:p>
    <w:p w14:paraId="406B8BFC" w14:textId="77777777" w:rsidR="001A1A1D" w:rsidRPr="00F372F7" w:rsidRDefault="001A1A1D" w:rsidP="001A1A1D">
      <w:pPr>
        <w:pStyle w:val="Subtitle"/>
        <w:rPr>
          <w:lang w:val="en-US"/>
        </w:rPr>
      </w:pPr>
      <w:r w:rsidRPr="00F372F7">
        <w:rPr>
          <w:lang w:val="en-US"/>
        </w:rPr>
        <w:t>General instructions</w:t>
      </w:r>
    </w:p>
    <w:p w14:paraId="78E61E1B" w14:textId="25ABBDCE" w:rsidR="001A1A1D" w:rsidRPr="00F372F7"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This training is part of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programme’s</w:t>
      </w:r>
      <w:proofErr w:type="spellEnd"/>
      <w:r w:rsidRPr="00F372F7">
        <w:rPr>
          <w:rFonts w:eastAsia="Times New Roman" w:cs="Times New Roman"/>
          <w:color w:val="000000"/>
          <w:lang w:val="en-US" w:eastAsia="fi-FI"/>
        </w:rPr>
        <w:t xml:space="preserve"> e-learning training, which aims to develop the competence of the teaching and support staff of higher education institutions in order to promote the high-quality content of the opin.fi service. The training has been implemented following the principle of </w:t>
      </w:r>
      <w:proofErr w:type="gramStart"/>
      <w:r w:rsidRPr="00F372F7">
        <w:rPr>
          <w:rFonts w:eastAsia="Times New Roman" w:cs="Times New Roman"/>
          <w:color w:val="000000"/>
          <w:lang w:val="en-US" w:eastAsia="fi-FI"/>
        </w:rPr>
        <w:t>micro-learning</w:t>
      </w:r>
      <w:proofErr w:type="gramEnd"/>
      <w:r w:rsidRPr="00F372F7">
        <w:rPr>
          <w:rFonts w:eastAsia="Times New Roman" w:cs="Times New Roman"/>
          <w:color w:val="000000"/>
          <w:lang w:val="en-US" w:eastAsia="fi-FI"/>
        </w:rPr>
        <w:t xml:space="preserve">. In other words, it consists of one or more episodes with one or more assignments. The videos and podcasts of the training package </w:t>
      </w:r>
      <w:proofErr w:type="gramStart"/>
      <w:r w:rsidRPr="00F372F7">
        <w:rPr>
          <w:rFonts w:eastAsia="Times New Roman" w:cs="Times New Roman"/>
          <w:color w:val="000000"/>
          <w:lang w:val="en-US" w:eastAsia="fi-FI"/>
        </w:rPr>
        <w:t>can be viewed</w:t>
      </w:r>
      <w:proofErr w:type="gramEnd"/>
      <w:r w:rsidRPr="00F372F7">
        <w:rPr>
          <w:rFonts w:eastAsia="Times New Roman" w:cs="Times New Roman"/>
          <w:color w:val="000000"/>
          <w:lang w:val="en-US" w:eastAsia="fi-FI"/>
        </w:rPr>
        <w:t xml:space="preserve"> on the </w:t>
      </w:r>
      <w:hyperlink r:id="rId8" w:history="1">
        <w:proofErr w:type="spellStart"/>
        <w:r w:rsidRPr="00F372F7">
          <w:rPr>
            <w:rStyle w:val="Hyperlink"/>
            <w:rFonts w:eastAsia="Times New Roman" w:cs="Times New Roman"/>
            <w:lang w:val="en-US" w:eastAsia="fi-FI"/>
          </w:rPr>
          <w:t>Digivisio</w:t>
        </w:r>
        <w:proofErr w:type="spellEnd"/>
        <w:r w:rsidRPr="00F372F7">
          <w:rPr>
            <w:rStyle w:val="Hyperlink"/>
            <w:rFonts w:eastAsia="Times New Roman" w:cs="Times New Roman"/>
            <w:lang w:val="en-US" w:eastAsia="fi-FI"/>
          </w:rPr>
          <w:t xml:space="preserve"> 2030 </w:t>
        </w:r>
        <w:proofErr w:type="spellStart"/>
        <w:r w:rsidRPr="00F372F7">
          <w:rPr>
            <w:rStyle w:val="Hyperlink"/>
            <w:rFonts w:eastAsia="Times New Roman" w:cs="Times New Roman"/>
            <w:lang w:val="en-US" w:eastAsia="fi-FI"/>
          </w:rPr>
          <w:t>programme’s</w:t>
        </w:r>
        <w:proofErr w:type="spellEnd"/>
        <w:r w:rsidRPr="00F372F7">
          <w:rPr>
            <w:rStyle w:val="Hyperlink"/>
            <w:rFonts w:eastAsia="Times New Roman" w:cs="Times New Roman"/>
            <w:lang w:val="en-US" w:eastAsia="fi-FI"/>
          </w:rPr>
          <w:t xml:space="preserve"> YouTube channel address</w:t>
        </w:r>
      </w:hyperlink>
      <w:r w:rsidRPr="00F372F7">
        <w:rPr>
          <w:rFonts w:eastAsia="Times New Roman" w:cs="Times New Roman"/>
          <w:color w:val="000000"/>
          <w:lang w:val="en-US" w:eastAsia="fi-FI"/>
        </w:rPr>
        <w:t>, and the related assignments can be downloaded from the open educational resources service (aoe.fi) on the page of the training in question.</w:t>
      </w:r>
    </w:p>
    <w:p w14:paraId="2F1DF0AA" w14:textId="77777777" w:rsidR="001A1A1D" w:rsidRPr="00F372F7"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episodes </w:t>
      </w:r>
      <w:proofErr w:type="gramStart"/>
      <w:r w:rsidRPr="00F372F7">
        <w:rPr>
          <w:rFonts w:eastAsia="Times New Roman" w:cs="Times New Roman"/>
          <w:color w:val="000000"/>
          <w:lang w:val="en-US" w:eastAsia="fi-FI"/>
        </w:rPr>
        <w:t>can be used</w:t>
      </w:r>
      <w:proofErr w:type="gramEnd"/>
      <w:r w:rsidRPr="00F372F7">
        <w:rPr>
          <w:rFonts w:eastAsia="Times New Roman" w:cs="Times New Roman"/>
          <w:color w:val="000000"/>
          <w:lang w:val="en-US" w:eastAsia="fi-FI"/>
        </w:rPr>
        <w:t xml:space="preserve"> to support independent learning, or they can be combined with guidance </w:t>
      </w:r>
      <w:proofErr w:type="spellStart"/>
      <w:r w:rsidRPr="00F372F7">
        <w:rPr>
          <w:rFonts w:eastAsia="Times New Roman" w:cs="Times New Roman"/>
          <w:color w:val="000000"/>
          <w:lang w:val="en-US" w:eastAsia="fi-FI"/>
        </w:rPr>
        <w:t>organised</w:t>
      </w:r>
      <w:proofErr w:type="spellEnd"/>
      <w:r w:rsidRPr="00F372F7">
        <w:rPr>
          <w:rFonts w:eastAsia="Times New Roman" w:cs="Times New Roman"/>
          <w:color w:val="000000"/>
          <w:lang w:val="en-US" w:eastAsia="fi-FI"/>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F372F7">
        <w:rPr>
          <w:rFonts w:eastAsia="Times New Roman" w:cs="Times New Roman"/>
          <w:color w:val="000000"/>
          <w:lang w:val="en-US" w:eastAsia="fi-FI"/>
        </w:rPr>
        <w:t>localise</w:t>
      </w:r>
      <w:proofErr w:type="spellEnd"/>
      <w:r w:rsidRPr="00F372F7">
        <w:rPr>
          <w:rFonts w:eastAsia="Times New Roman" w:cs="Times New Roman"/>
          <w:color w:val="000000"/>
          <w:lang w:val="en-US" w:eastAsia="fi-FI"/>
        </w:rPr>
        <w:t xml:space="preserve"> the implementation of the training to suit their own needs, for example, by altering the working methods or assignments related to the content, and by limiting or adding content to the training modules. New types of entities </w:t>
      </w:r>
      <w:proofErr w:type="gramStart"/>
      <w:r w:rsidRPr="00F372F7">
        <w:rPr>
          <w:rFonts w:eastAsia="Times New Roman" w:cs="Times New Roman"/>
          <w:color w:val="000000"/>
          <w:lang w:val="en-US" w:eastAsia="fi-FI"/>
        </w:rPr>
        <w:t>can be compiled</w:t>
      </w:r>
      <w:proofErr w:type="gramEnd"/>
      <w:r w:rsidRPr="00F372F7">
        <w:rPr>
          <w:rFonts w:eastAsia="Times New Roman" w:cs="Times New Roman"/>
          <w:color w:val="000000"/>
          <w:lang w:val="en-US" w:eastAsia="fi-FI"/>
        </w:rPr>
        <w:t xml:space="preserve"> from the episodes on different themes, and, for example, the episodes on modularity can be used as an introduction to other themes.</w:t>
      </w:r>
    </w:p>
    <w:p w14:paraId="2AA6712B" w14:textId="77777777" w:rsidR="001A1A1D" w:rsidRPr="00F372F7" w:rsidRDefault="001A1A1D" w:rsidP="001A1A1D">
      <w:pPr>
        <w:pStyle w:val="Alaotsikko2"/>
        <w:rPr>
          <w:rStyle w:val="eop"/>
          <w:lang w:val="en-US"/>
        </w:rPr>
      </w:pPr>
      <w:r>
        <w:rPr>
          <w:rStyle w:val="eop"/>
          <w:lang w:val="en-US"/>
        </w:rPr>
        <w:t>Language versions</w:t>
      </w:r>
    </w:p>
    <w:p w14:paraId="4E503611" w14:textId="77777777" w:rsidR="001A1A1D"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videos, podcasts and assignments included in the training are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763713E6" w14:textId="2B49C728" w:rsidR="001A1A1D"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p>
    <w:p w14:paraId="486A211F" w14:textId="77777777" w:rsidR="001A1A1D"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p>
    <w:p w14:paraId="3A0343B5" w14:textId="77777777" w:rsidR="001A1A1D" w:rsidRPr="00F372F7"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p>
    <w:p w14:paraId="2A4958FD" w14:textId="77777777" w:rsidR="001A1A1D" w:rsidRPr="00D34309" w:rsidRDefault="001A1A1D" w:rsidP="001A1A1D">
      <w:pPr>
        <w:pStyle w:val="Alaotsikko2"/>
        <w:rPr>
          <w:rStyle w:val="eop"/>
          <w:lang w:val="en-US"/>
        </w:rPr>
      </w:pPr>
      <w:proofErr w:type="spellStart"/>
      <w:r w:rsidRPr="00D34309">
        <w:rPr>
          <w:rStyle w:val="eop"/>
          <w:lang w:val="en-US"/>
        </w:rPr>
        <w:t>Licence</w:t>
      </w:r>
      <w:proofErr w:type="spellEnd"/>
    </w:p>
    <w:p w14:paraId="5AE79A68" w14:textId="77777777" w:rsidR="001A1A1D" w:rsidRPr="00F372F7" w:rsidRDefault="001A1A1D" w:rsidP="001A1A1D">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institution. The training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021B5FFA" w14:textId="77777777" w:rsidR="001A1A1D" w:rsidRPr="001A1A1D" w:rsidRDefault="001A1A1D" w:rsidP="001A1A1D">
      <w:pPr>
        <w:pStyle w:val="paragraph"/>
        <w:spacing w:before="0" w:beforeAutospacing="0" w:after="0" w:afterAutospacing="0"/>
        <w:ind w:left="1304"/>
        <w:textAlignment w:val="baseline"/>
        <w:rPr>
          <w:rStyle w:val="eop"/>
          <w:rFonts w:asciiTheme="minorHAnsi" w:hAnsiTheme="minorHAnsi"/>
          <w:sz w:val="22"/>
          <w:szCs w:val="22"/>
          <w:lang w:val="sv-SE"/>
        </w:rPr>
      </w:pPr>
      <w:proofErr w:type="spellStart"/>
      <w:r w:rsidRPr="001A1A1D">
        <w:rPr>
          <w:rStyle w:val="eop"/>
          <w:rFonts w:asciiTheme="minorHAnsi" w:hAnsiTheme="minorHAnsi"/>
          <w:sz w:val="22"/>
          <w:szCs w:val="22"/>
          <w:lang w:val="sv-SE"/>
        </w:rPr>
        <w:t>Digivisio</w:t>
      </w:r>
      <w:proofErr w:type="spellEnd"/>
      <w:r w:rsidRPr="001A1A1D">
        <w:rPr>
          <w:rStyle w:val="eop"/>
          <w:rFonts w:asciiTheme="minorHAnsi" w:hAnsiTheme="minorHAnsi"/>
          <w:sz w:val="22"/>
          <w:szCs w:val="22"/>
          <w:lang w:val="sv-SE"/>
        </w:rPr>
        <w:t xml:space="preserve"> 2030 logo </w:t>
      </w:r>
      <w:hyperlink r:id="rId9" w:history="1">
        <w:r w:rsidRPr="001A1A1D">
          <w:rPr>
            <w:rStyle w:val="Hyperlink"/>
            <w:rFonts w:asciiTheme="minorHAnsi" w:hAnsiTheme="minorHAnsi"/>
            <w:sz w:val="22"/>
            <w:szCs w:val="22"/>
            <w:lang w:val="sv-SE"/>
          </w:rPr>
          <w:t>https://digivisio2030.fi/aineistot/</w:t>
        </w:r>
      </w:hyperlink>
      <w:r w:rsidRPr="001A1A1D">
        <w:rPr>
          <w:rStyle w:val="eop"/>
          <w:rFonts w:asciiTheme="minorHAnsi" w:hAnsiTheme="minorHAnsi"/>
          <w:sz w:val="22"/>
          <w:szCs w:val="22"/>
          <w:lang w:val="sv-SE"/>
        </w:rPr>
        <w:t xml:space="preserve"> </w:t>
      </w:r>
    </w:p>
    <w:p w14:paraId="24BB09EA" w14:textId="246CB83C" w:rsidR="008770F5" w:rsidRPr="001A1A1D" w:rsidRDefault="008770F5" w:rsidP="00E90547">
      <w:pPr>
        <w:pStyle w:val="Subtitle"/>
        <w:rPr>
          <w:lang w:val="en-US"/>
        </w:rPr>
      </w:pPr>
      <w:r w:rsidRPr="001A1A1D">
        <w:rPr>
          <w:lang w:val="en-US"/>
        </w:rPr>
        <w:br/>
      </w:r>
      <w:r w:rsidR="001A1A1D" w:rsidRPr="001A1A1D">
        <w:rPr>
          <w:lang w:val="en-US"/>
        </w:rPr>
        <w:t xml:space="preserve">Information texts </w:t>
      </w:r>
      <w:r w:rsidR="001A1A1D">
        <w:rPr>
          <w:lang w:val="en-US"/>
        </w:rPr>
        <w:t>for the localization of contents</w:t>
      </w:r>
    </w:p>
    <w:p w14:paraId="36782DF9" w14:textId="006FE24D" w:rsidR="008770F5" w:rsidRPr="00371FF8" w:rsidRDefault="001A1A1D" w:rsidP="00371FF8">
      <w:pPr>
        <w:pStyle w:val="Alaotsikko2"/>
      </w:pPr>
      <w:r>
        <w:rPr>
          <w:lang w:val="en-US"/>
        </w:rPr>
        <w:t>Description of learning outcomes</w:t>
      </w:r>
    </w:p>
    <w:p w14:paraId="1AA94A12" w14:textId="77777777" w:rsidR="001A1A1D" w:rsidRPr="001A1A1D" w:rsidRDefault="001A1A1D" w:rsidP="001A1A1D">
      <w:pPr>
        <w:pStyle w:val="ListParagraph"/>
        <w:numPr>
          <w:ilvl w:val="0"/>
          <w:numId w:val="31"/>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You understand the advantages and possibilities of modularity in learning and teaching</w:t>
      </w:r>
    </w:p>
    <w:p w14:paraId="6B8B43AB" w14:textId="77777777" w:rsidR="001A1A1D" w:rsidRPr="001A1A1D" w:rsidRDefault="001A1A1D" w:rsidP="001A1A1D">
      <w:pPr>
        <w:pStyle w:val="ListParagraph"/>
        <w:numPr>
          <w:ilvl w:val="0"/>
          <w:numId w:val="31"/>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You are able to plan modular studies especially for continuous learners</w:t>
      </w:r>
    </w:p>
    <w:p w14:paraId="58AFDAA0" w14:textId="77777777" w:rsidR="001A1A1D" w:rsidRPr="001A1A1D" w:rsidRDefault="001A1A1D" w:rsidP="001A1A1D">
      <w:pPr>
        <w:pStyle w:val="ListParagraph"/>
        <w:numPr>
          <w:ilvl w:val="0"/>
          <w:numId w:val="31"/>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You can formulate learning outcomes and partial learning outcomes</w:t>
      </w:r>
    </w:p>
    <w:p w14:paraId="3B888CBD" w14:textId="01CDFC6F" w:rsidR="008770F5" w:rsidRPr="001A1A1D" w:rsidRDefault="001A1A1D" w:rsidP="00E90547">
      <w:pPr>
        <w:pStyle w:val="Alaotsikko2"/>
        <w:rPr>
          <w:lang w:val="en-US"/>
        </w:rPr>
      </w:pPr>
      <w:bookmarkStart w:id="0" w:name="_GoBack"/>
      <w:bookmarkEnd w:id="0"/>
      <w:r w:rsidRPr="001A1A1D">
        <w:rPr>
          <w:lang w:val="en-US"/>
        </w:rPr>
        <w:t>Assignments</w:t>
      </w:r>
    </w:p>
    <w:p w14:paraId="475B761C" w14:textId="77777777" w:rsidR="001A1A1D" w:rsidRPr="001A1A1D" w:rsidRDefault="001A1A1D" w:rsidP="001A1A1D">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 xml:space="preserve">Design a modular implementation for continuous learners together </w:t>
      </w:r>
      <w:proofErr w:type="gramStart"/>
      <w:r w:rsidRPr="001A1A1D">
        <w:rPr>
          <w:rFonts w:eastAsia="Times New Roman" w:cs="Times New Roman"/>
          <w:color w:val="000000"/>
          <w:lang w:val="en-US" w:eastAsia="fi-FI"/>
        </w:rPr>
        <w:t>with a</w:t>
      </w:r>
      <w:proofErr w:type="gramEnd"/>
      <w:r w:rsidRPr="001A1A1D">
        <w:rPr>
          <w:rFonts w:eastAsia="Times New Roman" w:cs="Times New Roman"/>
          <w:color w:val="000000"/>
          <w:lang w:val="en-US" w:eastAsia="fi-FI"/>
        </w:rPr>
        <w:t xml:space="preserve"> colleague/colleagues by transforming an existing course into a modular implementation or by tackling a new challenge.</w:t>
      </w:r>
    </w:p>
    <w:p w14:paraId="1ACEE452" w14:textId="77777777" w:rsidR="001A1A1D" w:rsidRPr="001A1A1D" w:rsidRDefault="001A1A1D" w:rsidP="001A1A1D">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Whose support will you need to design modular learning processes for continuous learners?</w:t>
      </w:r>
    </w:p>
    <w:p w14:paraId="0E19D098" w14:textId="77777777" w:rsidR="001A1A1D" w:rsidRPr="001A1A1D" w:rsidRDefault="001A1A1D" w:rsidP="001A1A1D">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How can you involve continuous learners in the design of different assignments and ways of completing them?</w:t>
      </w:r>
    </w:p>
    <w:p w14:paraId="0F64108B" w14:textId="77777777" w:rsidR="001A1A1D" w:rsidRPr="001A1A1D" w:rsidRDefault="001A1A1D" w:rsidP="001A1A1D">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 xml:space="preserve">Are the educational offerings of your own higher education institution </w:t>
      </w:r>
      <w:proofErr w:type="gramStart"/>
      <w:r w:rsidRPr="001A1A1D">
        <w:rPr>
          <w:rFonts w:eastAsia="Times New Roman" w:cs="Times New Roman"/>
          <w:color w:val="000000"/>
          <w:lang w:val="en-US" w:eastAsia="fi-FI"/>
        </w:rPr>
        <w:t>sufficient enough</w:t>
      </w:r>
      <w:proofErr w:type="gramEnd"/>
      <w:r w:rsidRPr="001A1A1D">
        <w:rPr>
          <w:rFonts w:eastAsia="Times New Roman" w:cs="Times New Roman"/>
          <w:color w:val="000000"/>
          <w:lang w:val="en-US" w:eastAsia="fi-FI"/>
        </w:rPr>
        <w:t xml:space="preserve"> for the modular implementation, or would it be necessary to cooperate with other higher education institutions?</w:t>
      </w:r>
    </w:p>
    <w:p w14:paraId="0CDB5640" w14:textId="77777777" w:rsidR="001A1A1D" w:rsidRPr="001A1A1D" w:rsidRDefault="001A1A1D" w:rsidP="001A1A1D">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1A1A1D">
        <w:rPr>
          <w:rFonts w:eastAsia="Times New Roman" w:cs="Times New Roman"/>
          <w:color w:val="000000"/>
          <w:lang w:val="en-US" w:eastAsia="fi-FI"/>
        </w:rPr>
        <w:t>How will you ensure that the modular learning paths will be visible in the opin.fi service?</w:t>
      </w:r>
    </w:p>
    <w:p w14:paraId="33777652" w14:textId="77777777" w:rsidR="00F805E3" w:rsidRPr="001A1A1D" w:rsidRDefault="00F805E3" w:rsidP="00F805E3">
      <w:pPr>
        <w:pStyle w:val="paragraph"/>
        <w:spacing w:before="0" w:beforeAutospacing="0" w:after="0" w:afterAutospacing="0"/>
        <w:ind w:left="1440"/>
        <w:textAlignment w:val="baseline"/>
        <w:rPr>
          <w:rStyle w:val="normaltextrun"/>
          <w:rFonts w:asciiTheme="minorHAnsi" w:hAnsiTheme="minorHAnsi"/>
          <w:sz w:val="22"/>
          <w:szCs w:val="22"/>
          <w:lang w:val="en-US"/>
        </w:rPr>
      </w:pPr>
    </w:p>
    <w:p w14:paraId="0D9EA5A3" w14:textId="12DE3B0D" w:rsidR="00243E2F" w:rsidRPr="001A1A1D" w:rsidRDefault="00243E2F">
      <w:pPr>
        <w:tabs>
          <w:tab w:val="clear" w:pos="1304"/>
          <w:tab w:val="clear" w:pos="2608"/>
        </w:tabs>
        <w:rPr>
          <w:lang w:val="en-US"/>
        </w:rPr>
      </w:pPr>
    </w:p>
    <w:sectPr w:rsidR="00243E2F" w:rsidRPr="001A1A1D"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25A298A7"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1A1A1D">
      <w:rPr>
        <w:noProof/>
      </w:rPr>
      <w:t>2</w:t>
    </w:r>
    <w:r w:rsidRPr="008E71FB">
      <w:fldChar w:fldCharType="end"/>
    </w:r>
    <w:r w:rsidRPr="008E71FB">
      <w:t xml:space="preserve"> (</w:t>
    </w:r>
    <w:r w:rsidRPr="008E71FB">
      <w:fldChar w:fldCharType="begin"/>
    </w:r>
    <w:r w:rsidRPr="008E71FB">
      <w:instrText>NUMPAGES</w:instrText>
    </w:r>
    <w:r w:rsidRPr="008E71FB">
      <w:fldChar w:fldCharType="separate"/>
    </w:r>
    <w:r w:rsidR="001A1A1D">
      <w:rPr>
        <w:noProof/>
      </w:rPr>
      <w:t>2</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2F33A0A7" w:rsidR="00B778F5" w:rsidRDefault="001A1A1D" w:rsidP="00B778F5">
        <w:pPr>
          <w:pStyle w:val="Header"/>
        </w:pPr>
        <w:proofErr w:type="spellStart"/>
        <w:r>
          <w:t>Modularity</w:t>
        </w:r>
        <w:proofErr w:type="spellEnd"/>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66D869A7"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1A1A1D">
      <w:t xml:space="preserve">Online </w:t>
    </w:r>
    <w:proofErr w:type="spellStart"/>
    <w:r w:rsidR="001A1A1D">
      <w:t>pedagogy</w:t>
    </w:r>
    <w:proofErr w:type="spellEnd"/>
    <w:r>
      <w:tab/>
    </w:r>
    <w:r w:rsidRPr="008E71FB">
      <w:fldChar w:fldCharType="begin"/>
    </w:r>
    <w:r w:rsidRPr="008E71FB">
      <w:instrText>PAGE</w:instrText>
    </w:r>
    <w:r w:rsidRPr="008E71FB">
      <w:fldChar w:fldCharType="separate"/>
    </w:r>
    <w:r w:rsidR="001A1A1D">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1A1A1D">
      <w:rPr>
        <w:noProof/>
      </w:rP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07A1D9E6" w:rsidR="007D0A83" w:rsidRDefault="00E90547" w:rsidP="007D0A83">
        <w:pPr>
          <w:pStyle w:val="Header"/>
        </w:pPr>
        <w:proofErr w:type="spellStart"/>
        <w:r>
          <w:t>M</w:t>
        </w:r>
        <w:r w:rsidR="001A1A1D">
          <w:t>odularity</w:t>
        </w:r>
        <w:proofErr w:type="spellEnd"/>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810075"/>
    <w:multiLevelType w:val="hybridMultilevel"/>
    <w:tmpl w:val="8D88230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71531F"/>
    <w:multiLevelType w:val="hybridMultilevel"/>
    <w:tmpl w:val="E0107B3C"/>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5"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8"/>
  </w:num>
  <w:num w:numId="4">
    <w:abstractNumId w:val="22"/>
  </w:num>
  <w:num w:numId="5">
    <w:abstractNumId w:val="9"/>
  </w:num>
  <w:num w:numId="6">
    <w:abstractNumId w:val="7"/>
  </w:num>
  <w:num w:numId="7">
    <w:abstractNumId w:val="29"/>
  </w:num>
  <w:num w:numId="8">
    <w:abstractNumId w:val="15"/>
  </w:num>
  <w:num w:numId="9">
    <w:abstractNumId w:val="13"/>
  </w:num>
  <w:num w:numId="10">
    <w:abstractNumId w:val="17"/>
  </w:num>
  <w:num w:numId="11">
    <w:abstractNumId w:val="12"/>
  </w:num>
  <w:num w:numId="12">
    <w:abstractNumId w:val="6"/>
  </w:num>
  <w:num w:numId="13">
    <w:abstractNumId w:val="26"/>
  </w:num>
  <w:num w:numId="14">
    <w:abstractNumId w:val="27"/>
  </w:num>
  <w:num w:numId="15">
    <w:abstractNumId w:val="8"/>
  </w:num>
  <w:num w:numId="16">
    <w:abstractNumId w:val="30"/>
  </w:num>
  <w:num w:numId="17">
    <w:abstractNumId w:val="5"/>
  </w:num>
  <w:num w:numId="18">
    <w:abstractNumId w:val="23"/>
  </w:num>
  <w:num w:numId="19">
    <w:abstractNumId w:val="11"/>
  </w:num>
  <w:num w:numId="20">
    <w:abstractNumId w:val="25"/>
  </w:num>
  <w:num w:numId="21">
    <w:abstractNumId w:val="3"/>
  </w:num>
  <w:num w:numId="22">
    <w:abstractNumId w:val="24"/>
  </w:num>
  <w:num w:numId="23">
    <w:abstractNumId w:val="10"/>
  </w:num>
  <w:num w:numId="24">
    <w:abstractNumId w:val="1"/>
  </w:num>
  <w:num w:numId="25">
    <w:abstractNumId w:val="21"/>
  </w:num>
  <w:num w:numId="26">
    <w:abstractNumId w:val="20"/>
  </w:num>
  <w:num w:numId="27">
    <w:abstractNumId w:val="18"/>
  </w:num>
  <w:num w:numId="28">
    <w:abstractNumId w:val="19"/>
  </w:num>
  <w:num w:numId="29">
    <w:abstractNumId w:val="31"/>
  </w:num>
  <w:num w:numId="30">
    <w:abstractNumId w:val="16"/>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1A1D"/>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84436"/>
    <w:rsid w:val="0059067E"/>
    <w:rsid w:val="005B7196"/>
    <w:rsid w:val="005E48EA"/>
    <w:rsid w:val="00601D7D"/>
    <w:rsid w:val="00605ACB"/>
    <w:rsid w:val="0060724A"/>
    <w:rsid w:val="00612226"/>
    <w:rsid w:val="006127C7"/>
    <w:rsid w:val="006237E8"/>
    <w:rsid w:val="00645099"/>
    <w:rsid w:val="00653706"/>
    <w:rsid w:val="00672645"/>
    <w:rsid w:val="006739FF"/>
    <w:rsid w:val="00681A2C"/>
    <w:rsid w:val="006B2C10"/>
    <w:rsid w:val="006B426D"/>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0C3B"/>
    <w:rsid w:val="00F54179"/>
    <w:rsid w:val="00F805E3"/>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F8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749716">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98114599">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70016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21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VuiAz6qHBcBYsvmZgCLO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Modularity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3448</Characters>
  <Application>Microsoft Office Word</Application>
  <DocSecurity>0</DocSecurity>
  <Lines>28</Lines>
  <Paragraphs>7</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3</cp:revision>
  <dcterms:created xsi:type="dcterms:W3CDTF">2024-02-08T09:25:00Z</dcterms:created>
  <dcterms:modified xsi:type="dcterms:W3CDTF">2024-02-08T09:31:00Z</dcterms:modified>
</cp:coreProperties>
</file>