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2044E" w14:textId="1B6A6765" w:rsidR="008D4BBB" w:rsidRPr="00ED5DE3" w:rsidRDefault="00363757">
      <w:pPr>
        <w:rPr>
          <w:rFonts w:ascii="Open Sans" w:hAnsi="Open Sans" w:cs="Open Sans"/>
          <w:b/>
          <w:bCs/>
          <w:sz w:val="24"/>
          <w:szCs w:val="24"/>
          <w:lang w:val="en-US"/>
        </w:rPr>
      </w:pPr>
      <w:r w:rsidRPr="00ED5DE3">
        <w:rPr>
          <w:rFonts w:ascii="Open Sans" w:hAnsi="Open Sans" w:cs="Open Sans"/>
          <w:b/>
          <w:bCs/>
          <w:sz w:val="24"/>
          <w:szCs w:val="24"/>
          <w:lang w:val="en-US"/>
        </w:rPr>
        <w:t xml:space="preserve">2.1 Climate change and disaster risk reduction (DRR) </w:t>
      </w:r>
      <w:r w:rsidRPr="00ED5DE3">
        <w:rPr>
          <w:rFonts w:ascii="Open Sans" w:hAnsi="Open Sans" w:cs="Open Sans"/>
          <w:b/>
          <w:bCs/>
          <w:sz w:val="24"/>
          <w:szCs w:val="24"/>
          <w:lang w:val="en-US"/>
        </w:rPr>
        <w:t>–</w:t>
      </w:r>
      <w:r w:rsidRPr="00ED5DE3">
        <w:rPr>
          <w:rFonts w:ascii="Open Sans" w:hAnsi="Open Sans" w:cs="Open Sans"/>
          <w:b/>
          <w:bCs/>
          <w:sz w:val="24"/>
          <w:szCs w:val="24"/>
          <w:lang w:val="en-US"/>
        </w:rPr>
        <w:t xml:space="preserve"> introduction</w:t>
      </w:r>
    </w:p>
    <w:p w14:paraId="72CB3A5F" w14:textId="6F96A4FE" w:rsidR="00363757" w:rsidRPr="00ED5DE3" w:rsidRDefault="00363757" w:rsidP="00363757">
      <w:pPr>
        <w:rPr>
          <w:rFonts w:ascii="Open Sans" w:hAnsi="Open Sans" w:cs="Open Sans"/>
          <w:lang w:val="en-US"/>
        </w:rPr>
      </w:pPr>
      <w:r w:rsidRPr="00ED5DE3">
        <w:rPr>
          <w:rFonts w:ascii="Open Sans" w:hAnsi="Open Sans" w:cs="Open Sans"/>
          <w:lang w:val="en-US"/>
        </w:rPr>
        <w:t>In this course we go through examples of Nature-Based Solutions using the seven societal challenges that are introduced in the first module.</w:t>
      </w:r>
    </w:p>
    <w:p w14:paraId="6F68FEE2" w14:textId="4B060FFE" w:rsidR="00363757" w:rsidRPr="00ED5DE3" w:rsidRDefault="00363757" w:rsidP="00363757">
      <w:pPr>
        <w:rPr>
          <w:rFonts w:ascii="Open Sans" w:hAnsi="Open Sans" w:cs="Open Sans"/>
          <w:lang w:val="en-US"/>
        </w:rPr>
      </w:pPr>
      <w:r w:rsidRPr="00ED5DE3">
        <w:rPr>
          <w:rFonts w:ascii="Open Sans" w:hAnsi="Open Sans" w:cs="Open Sans"/>
          <w:lang w:val="en-US"/>
        </w:rPr>
        <w:t>First up are the topics Climate change mitigation and Disaster risk reduction, the example considers wetland and peatland restoration in Finland. This section includes the introduction to the topic.</w:t>
      </w:r>
    </w:p>
    <w:p w14:paraId="2A0720B5" w14:textId="77777777" w:rsidR="00363757" w:rsidRPr="00ED5DE3" w:rsidRDefault="00363757" w:rsidP="00363757">
      <w:pPr>
        <w:rPr>
          <w:rFonts w:ascii="Open Sans" w:hAnsi="Open Sans" w:cs="Open Sans"/>
          <w:b/>
          <w:bCs/>
          <w:lang w:val="en-US"/>
        </w:rPr>
      </w:pPr>
      <w:r w:rsidRPr="00ED5DE3">
        <w:rPr>
          <w:rFonts w:ascii="Open Sans" w:hAnsi="Open Sans" w:cs="Open Sans"/>
          <w:b/>
          <w:bCs/>
          <w:lang w:val="en-US"/>
        </w:rPr>
        <w:t>Climate change mitigation</w:t>
      </w:r>
    </w:p>
    <w:p w14:paraId="0A3EA93D" w14:textId="1C17F939" w:rsidR="00363757" w:rsidRPr="00ED5DE3" w:rsidRDefault="00363757" w:rsidP="00363757">
      <w:pPr>
        <w:rPr>
          <w:rFonts w:ascii="Open Sans" w:hAnsi="Open Sans" w:cs="Open Sans"/>
          <w:lang w:val="en-US"/>
        </w:rPr>
      </w:pPr>
      <w:r w:rsidRPr="00ED5DE3">
        <w:rPr>
          <w:rFonts w:ascii="Open Sans" w:hAnsi="Open Sans" w:cs="Open Sans"/>
          <w:lang w:val="en-US"/>
        </w:rPr>
        <w:t xml:space="preserve">Nature-Based Solutions in the form of ecosystem-based mitigation (EbM) can make a powerful contribution against climate change by preventing the degradation and loss of natural ecosystems. Natural and modified ecosystems can contribute through their function as a ‘natural carbon sink’ by absorbing and sequestering CO2 missions.  </w:t>
      </w:r>
    </w:p>
    <w:p w14:paraId="20EF416F" w14:textId="77777777" w:rsidR="00363757" w:rsidRPr="00ED5DE3" w:rsidRDefault="00363757" w:rsidP="00363757">
      <w:pPr>
        <w:rPr>
          <w:rFonts w:ascii="Open Sans" w:hAnsi="Open Sans" w:cs="Open Sans"/>
          <w:b/>
          <w:bCs/>
          <w:lang w:val="en-US"/>
        </w:rPr>
      </w:pPr>
      <w:r w:rsidRPr="00ED5DE3">
        <w:rPr>
          <w:rFonts w:ascii="Open Sans" w:hAnsi="Open Sans" w:cs="Open Sans"/>
          <w:b/>
          <w:bCs/>
          <w:lang w:val="en-US"/>
        </w:rPr>
        <w:t>NBS for disaster risk reduction</w:t>
      </w:r>
    </w:p>
    <w:p w14:paraId="4FA6F8DB" w14:textId="0A8A20A1" w:rsidR="00363757" w:rsidRPr="00ED5DE3" w:rsidRDefault="00363757" w:rsidP="00363757">
      <w:pPr>
        <w:rPr>
          <w:rFonts w:ascii="Open Sans" w:hAnsi="Open Sans" w:cs="Open Sans"/>
          <w:lang w:val="en-US"/>
        </w:rPr>
      </w:pPr>
      <w:r w:rsidRPr="00ED5DE3">
        <w:rPr>
          <w:rFonts w:ascii="Open Sans" w:hAnsi="Open Sans" w:cs="Open Sans"/>
          <w:lang w:val="en-US"/>
        </w:rPr>
        <w:t xml:space="preserve">Nature plays a role in reducing risks to natural hazards. Following Hurricane Katrina, the US Congress approved US$ 500 million for the restoration of its coastal national parks and salt marshes, following evidence that they had helped reduce the damage. A study from Bitarkanika Conservation Area in India shows that rice crops can take three times longer to recover from salt intrusion following coastal storms, without the presence of mangrove forests along the coastline (Duncan et al. 2014). Such learning from past events has led to the development of the ecosystem-based disaster risk reduction (Eco-DRR) approach. </w:t>
      </w:r>
    </w:p>
    <w:p w14:paraId="1B203C64" w14:textId="2B09040D" w:rsidR="00363757" w:rsidRPr="00ED5DE3" w:rsidRDefault="00363757" w:rsidP="00363757">
      <w:pPr>
        <w:rPr>
          <w:rFonts w:ascii="Open Sans" w:hAnsi="Open Sans" w:cs="Open Sans"/>
          <w:lang w:val="en-US"/>
        </w:rPr>
      </w:pPr>
      <w:r w:rsidRPr="00ED5DE3">
        <w:rPr>
          <w:rFonts w:ascii="Open Sans" w:hAnsi="Open Sans" w:cs="Open Sans"/>
          <w:lang w:val="en-US"/>
        </w:rPr>
        <w:t xml:space="preserve">It is important to recognize that a natural hazard event has the potential to turn into a disaster if the community or society is not able to cope with the impacts, using its own resources (UNISDR 2007). Disaster risk reduction efforts can significantly reduce the likelihood of a natural hazard event turning into a disaster.  These efforts could be reducing exposure to hazards, wise management of land and the environment and improving preparedness for adverse events.  </w:t>
      </w:r>
    </w:p>
    <w:p w14:paraId="6E536E0C" w14:textId="5111FC90" w:rsidR="00363757" w:rsidRPr="00ED5DE3" w:rsidRDefault="00363757" w:rsidP="00363757">
      <w:pPr>
        <w:rPr>
          <w:rFonts w:ascii="Open Sans" w:hAnsi="Open Sans" w:cs="Open Sans"/>
          <w:lang w:val="en-US"/>
        </w:rPr>
      </w:pPr>
      <w:r w:rsidRPr="00ED5DE3">
        <w:rPr>
          <w:rFonts w:ascii="Open Sans" w:hAnsi="Open Sans" w:cs="Open Sans"/>
          <w:lang w:val="en-US"/>
        </w:rPr>
        <w:t xml:space="preserve">Ecosystems such as wetlands, forests and coastal systems can reduce physical exposure to natural hazards by serving as protective barriers and buffers. Nature-Based Solutions can protect development infrastructure and property as well as support quicker recovery of livelihood sources. </w:t>
      </w:r>
    </w:p>
    <w:p w14:paraId="688DE1FF" w14:textId="3F78ECA9" w:rsidR="00363757" w:rsidRPr="00ED5DE3" w:rsidRDefault="00363757" w:rsidP="00363757">
      <w:pPr>
        <w:rPr>
          <w:rFonts w:ascii="Open Sans" w:hAnsi="Open Sans" w:cs="Open Sans"/>
          <w:lang w:val="en-US"/>
        </w:rPr>
      </w:pPr>
      <w:r w:rsidRPr="00ED5DE3">
        <w:rPr>
          <w:rFonts w:ascii="Open Sans" w:hAnsi="Open Sans" w:cs="Open Sans"/>
          <w:lang w:val="en-US"/>
        </w:rPr>
        <w:t xml:space="preserve">The Eco-DRR approach focuses on minimizing the impacts of hazard events by enhancing people’s capacities to better manage and recover from the effects of hazards. Well-managed ecosystems reduce risks and vulnerability, when poorly managed systems can exacerbate them by increasing risks of flood, drought, crop failure or disease. Eco-DRR is closely linked to the ecosystem-based approaches to adaptation and mitigation, but is more specific, focusing on particular hazard events e.g. tsunamis, earthquakes, flooding), often with specified time periods and locations. </w:t>
      </w:r>
    </w:p>
    <w:p w14:paraId="2623D6B2" w14:textId="77777777" w:rsidR="00363757" w:rsidRPr="00ED5DE3" w:rsidRDefault="00363757" w:rsidP="00363757">
      <w:pPr>
        <w:rPr>
          <w:rFonts w:ascii="Open Sans" w:hAnsi="Open Sans" w:cs="Open Sans"/>
          <w:b/>
          <w:bCs/>
          <w:lang w:val="en-US"/>
        </w:rPr>
      </w:pPr>
      <w:r w:rsidRPr="00ED5DE3">
        <w:rPr>
          <w:rFonts w:ascii="Open Sans" w:hAnsi="Open Sans" w:cs="Open Sans"/>
          <w:b/>
          <w:bCs/>
          <w:lang w:val="en-US"/>
        </w:rPr>
        <w:t xml:space="preserve">Wetlands and peatland restoration </w:t>
      </w:r>
    </w:p>
    <w:p w14:paraId="627ED436" w14:textId="253928B7" w:rsidR="00363757" w:rsidRPr="00ED5DE3" w:rsidRDefault="00363757" w:rsidP="00363757">
      <w:pPr>
        <w:rPr>
          <w:rFonts w:ascii="Open Sans" w:hAnsi="Open Sans" w:cs="Open Sans"/>
          <w:lang w:val="en-US"/>
        </w:rPr>
      </w:pPr>
      <w:r w:rsidRPr="00ED5DE3">
        <w:rPr>
          <w:rFonts w:ascii="Open Sans" w:hAnsi="Open Sans" w:cs="Open Sans"/>
          <w:lang w:val="en-US"/>
        </w:rPr>
        <w:lastRenderedPageBreak/>
        <w:t>In this section we handle climate change mitigation and disaster risk reduction in a context of wetlands and peatland restoration, which is a great example of a Nature-Based Solution in Finland.  Wetlands and peatlands play a critical role in climate change mitigation in Finland, where these ecosystems cover a significant portion of the land area. Peatlands are efficient carbon sinks, but they become sources of greenhouse gas emissions when drained or degraded.</w:t>
      </w:r>
    </w:p>
    <w:p w14:paraId="36C29FB0" w14:textId="66B5AEE0" w:rsidR="00363757" w:rsidRPr="00ED5DE3" w:rsidRDefault="00363757" w:rsidP="00363757">
      <w:pPr>
        <w:rPr>
          <w:rFonts w:ascii="Open Sans" w:hAnsi="Open Sans" w:cs="Open Sans"/>
          <w:lang w:val="en-US"/>
        </w:rPr>
      </w:pPr>
      <w:r w:rsidRPr="00ED5DE3">
        <w:rPr>
          <w:rFonts w:ascii="Open Sans" w:hAnsi="Open Sans" w:cs="Open Sans"/>
          <w:lang w:val="en-US"/>
        </w:rPr>
        <w:t xml:space="preserve">Wetlands regulate water flow, reducing the risks of flooding and drought, which are exacerbatedby climate change. Wetland management fosters ecosystem resilience, providing a natural buffer against extreme weather events. Efforts to restore wetlands align with global climate goals while supporting biodiversity and improving water quality. </w:t>
      </w:r>
    </w:p>
    <w:p w14:paraId="6374EC71" w14:textId="77777777" w:rsidR="00363757" w:rsidRPr="00ED5DE3" w:rsidRDefault="00363757" w:rsidP="00363757">
      <w:pPr>
        <w:rPr>
          <w:rFonts w:ascii="Open Sans" w:hAnsi="Open Sans" w:cs="Open Sans"/>
          <w:b/>
          <w:bCs/>
          <w:lang w:val="en-US"/>
        </w:rPr>
      </w:pPr>
      <w:r w:rsidRPr="00ED5DE3">
        <w:rPr>
          <w:rFonts w:ascii="Open Sans" w:hAnsi="Open Sans" w:cs="Open Sans"/>
          <w:b/>
          <w:bCs/>
          <w:lang w:val="en-US"/>
        </w:rPr>
        <w:t>References</w:t>
      </w:r>
    </w:p>
    <w:p w14:paraId="5ED0C3F4" w14:textId="2AF32F27" w:rsidR="00363757" w:rsidRPr="00ED5DE3" w:rsidRDefault="00363757" w:rsidP="00363757">
      <w:pPr>
        <w:rPr>
          <w:rFonts w:ascii="Open Sans" w:hAnsi="Open Sans" w:cs="Open Sans"/>
          <w:lang w:val="en-US"/>
        </w:rPr>
      </w:pPr>
      <w:r w:rsidRPr="00ED5DE3">
        <w:rPr>
          <w:rFonts w:ascii="Open Sans" w:hAnsi="Open Sans" w:cs="Open Sans"/>
          <w:lang w:val="en-US"/>
        </w:rPr>
        <w:t xml:space="preserve">Duncan, J.M.A., Dash, J. and Tompkins, E.L. (2014). Mangrove forests enhance rice cropland resilience to tropical cyclones: evidence from the Bhitarkanika Conservation Area. In R. Murti and C. Buyck (eds.) Safe Havens: Protected Areas for Disaster Risk Reduction and Climate Change Adaptation. Gland, Switzerland: IUCN. </w:t>
      </w:r>
    </w:p>
    <w:p w14:paraId="1CC944AC" w14:textId="09FA574A" w:rsidR="00363757" w:rsidRPr="00ED5DE3" w:rsidRDefault="00363757" w:rsidP="00363757">
      <w:pPr>
        <w:rPr>
          <w:rFonts w:ascii="Open Sans" w:hAnsi="Open Sans" w:cs="Open Sans"/>
          <w:lang w:val="en-US"/>
        </w:rPr>
      </w:pPr>
      <w:r w:rsidRPr="00ED5DE3">
        <w:rPr>
          <w:rFonts w:ascii="Open Sans" w:hAnsi="Open Sans" w:cs="Open Sans"/>
          <w:lang w:val="en-US"/>
        </w:rPr>
        <w:t xml:space="preserve">UNISDR, 2007. List of terminologies. Available at: http://www.unisdr.org/we/inform/ terminology#letter-d.  </w:t>
      </w:r>
    </w:p>
    <w:p w14:paraId="0A45B6A5" w14:textId="77777777" w:rsidR="002610FC" w:rsidRPr="00ED5DE3" w:rsidRDefault="002610FC" w:rsidP="00363757">
      <w:pPr>
        <w:rPr>
          <w:rFonts w:ascii="Open Sans" w:hAnsi="Open Sans" w:cs="Open Sans"/>
          <w:lang w:val="en-US"/>
        </w:rPr>
      </w:pPr>
    </w:p>
    <w:p w14:paraId="58031948" w14:textId="09B0BBDE" w:rsidR="002610FC" w:rsidRPr="00ED5DE3" w:rsidRDefault="00A054E0" w:rsidP="00363757">
      <w:pPr>
        <w:rPr>
          <w:rFonts w:ascii="Open Sans" w:hAnsi="Open Sans" w:cs="Open Sans"/>
          <w:b/>
          <w:bCs/>
          <w:lang w:val="en-US"/>
        </w:rPr>
      </w:pPr>
      <w:r w:rsidRPr="00ED5DE3">
        <w:rPr>
          <w:rFonts w:ascii="Open Sans" w:hAnsi="Open Sans" w:cs="Open Sans"/>
          <w:b/>
          <w:bCs/>
          <w:sz w:val="24"/>
          <w:szCs w:val="24"/>
          <w:lang w:val="en-US"/>
        </w:rPr>
        <w:t xml:space="preserve">2.2 Biodiversity loss </w:t>
      </w:r>
      <w:r w:rsidRPr="00ED5DE3">
        <w:rPr>
          <w:rFonts w:ascii="Open Sans" w:hAnsi="Open Sans" w:cs="Open Sans"/>
          <w:b/>
          <w:bCs/>
          <w:sz w:val="24"/>
          <w:szCs w:val="24"/>
          <w:lang w:val="en-US"/>
        </w:rPr>
        <w:t>–</w:t>
      </w:r>
      <w:r w:rsidRPr="00ED5DE3">
        <w:rPr>
          <w:rFonts w:ascii="Open Sans" w:hAnsi="Open Sans" w:cs="Open Sans"/>
          <w:b/>
          <w:bCs/>
          <w:sz w:val="24"/>
          <w:szCs w:val="24"/>
          <w:lang w:val="en-US"/>
        </w:rPr>
        <w:t xml:space="preserve"> introduction</w:t>
      </w:r>
    </w:p>
    <w:p w14:paraId="48513D08" w14:textId="14954938" w:rsidR="00A054E0" w:rsidRPr="00ED5DE3" w:rsidRDefault="00A054E0" w:rsidP="00A054E0">
      <w:pPr>
        <w:rPr>
          <w:rFonts w:ascii="Open Sans" w:hAnsi="Open Sans" w:cs="Open Sans"/>
          <w:lang w:val="en-US"/>
        </w:rPr>
      </w:pPr>
      <w:r w:rsidRPr="00ED5DE3">
        <w:rPr>
          <w:rFonts w:ascii="Open Sans" w:hAnsi="Open Sans" w:cs="Open Sans"/>
          <w:lang w:val="en-US"/>
        </w:rPr>
        <w:t>In this section you familiarize yourself with the topic of Biodiversity loss. First we talk about finnish forestry in the context of biodiversity and then resistant seedling material for healthy forest ecosystems. Lastly, you familiarize yourself with one of the biggest threaths to biodiversity, invasive alien species.</w:t>
      </w:r>
    </w:p>
    <w:p w14:paraId="5B48FE4C" w14:textId="77777777" w:rsidR="00A054E0" w:rsidRPr="00ED5DE3" w:rsidRDefault="00A054E0" w:rsidP="00A054E0">
      <w:pPr>
        <w:rPr>
          <w:rFonts w:ascii="Open Sans" w:hAnsi="Open Sans" w:cs="Open Sans"/>
          <w:b/>
          <w:bCs/>
          <w:lang w:val="en-US"/>
        </w:rPr>
      </w:pPr>
      <w:r w:rsidRPr="00ED5DE3">
        <w:rPr>
          <w:rFonts w:ascii="Open Sans" w:hAnsi="Open Sans" w:cs="Open Sans"/>
          <w:b/>
          <w:bCs/>
          <w:lang w:val="en-US"/>
        </w:rPr>
        <w:t>Biodiversity loss</w:t>
      </w:r>
    </w:p>
    <w:p w14:paraId="1FAFAEDB" w14:textId="248B431B" w:rsidR="00A054E0" w:rsidRPr="00ED5DE3" w:rsidRDefault="00A054E0" w:rsidP="00A054E0">
      <w:pPr>
        <w:rPr>
          <w:rFonts w:ascii="Open Sans" w:hAnsi="Open Sans" w:cs="Open Sans"/>
          <w:lang w:val="en-US"/>
        </w:rPr>
      </w:pPr>
      <w:r w:rsidRPr="00ED5DE3">
        <w:rPr>
          <w:rFonts w:ascii="Open Sans" w:hAnsi="Open Sans" w:cs="Open Sans"/>
          <w:lang w:val="en-US"/>
        </w:rPr>
        <w:t xml:space="preserve">Finland is one of the most heavily forested countries in Europe and forest industry plays a significant role in both the economy and the environment. While Finland has strict sustainability standards and certification systems like FSC and PEFC, these measures might fall short in fully protecting biodiversity. One of the concerns today is the loss of old-growth forests and deadwood, that is essential habitat for many species, including lichens, fungi and certain bird populations. The shift toward continuous-cover forestry and increased conservation efforts aim to mitigate the degradation of these ecosystems. </w:t>
      </w:r>
    </w:p>
    <w:p w14:paraId="276A397D" w14:textId="31D3BCE9" w:rsidR="00A054E0" w:rsidRPr="00ED5DE3" w:rsidRDefault="00A054E0" w:rsidP="00A054E0">
      <w:pPr>
        <w:rPr>
          <w:rFonts w:ascii="Open Sans" w:hAnsi="Open Sans" w:cs="Open Sans"/>
          <w:lang w:val="en-US"/>
        </w:rPr>
      </w:pPr>
      <w:r w:rsidRPr="00ED5DE3">
        <w:rPr>
          <w:rFonts w:ascii="Open Sans" w:hAnsi="Open Sans" w:cs="Open Sans"/>
          <w:lang w:val="en-US"/>
        </w:rPr>
        <w:t>Balancing economic interests with biodiversity conservation remains a key challenge for policymakers and industry leaders. Nature-Based Solutions can provide alternatives for more sustainable future of forest industry.</w:t>
      </w:r>
    </w:p>
    <w:p w14:paraId="6BF6B8F2" w14:textId="77777777" w:rsidR="00A054E0" w:rsidRPr="00ED5DE3" w:rsidRDefault="00A054E0" w:rsidP="00A054E0">
      <w:pPr>
        <w:rPr>
          <w:rFonts w:ascii="Open Sans" w:hAnsi="Open Sans" w:cs="Open Sans"/>
          <w:lang w:val="en-US"/>
        </w:rPr>
      </w:pPr>
    </w:p>
    <w:p w14:paraId="7E753E74" w14:textId="3441C9BD" w:rsidR="00A054E0" w:rsidRPr="00ED5DE3" w:rsidRDefault="009B1E59" w:rsidP="00A054E0">
      <w:pPr>
        <w:rPr>
          <w:rFonts w:ascii="Open Sans" w:hAnsi="Open Sans" w:cs="Open Sans"/>
          <w:b/>
          <w:bCs/>
          <w:sz w:val="24"/>
          <w:szCs w:val="24"/>
          <w:lang w:val="en-US"/>
        </w:rPr>
      </w:pPr>
      <w:r w:rsidRPr="00ED5DE3">
        <w:rPr>
          <w:rFonts w:ascii="Open Sans" w:hAnsi="Open Sans" w:cs="Open Sans"/>
          <w:b/>
          <w:bCs/>
          <w:sz w:val="24"/>
          <w:szCs w:val="24"/>
          <w:lang w:val="en-US"/>
        </w:rPr>
        <w:t xml:space="preserve">3.1 Food production </w:t>
      </w:r>
      <w:r w:rsidRPr="00ED5DE3">
        <w:rPr>
          <w:rFonts w:ascii="Open Sans" w:hAnsi="Open Sans" w:cs="Open Sans"/>
          <w:b/>
          <w:bCs/>
          <w:sz w:val="24"/>
          <w:szCs w:val="24"/>
          <w:lang w:val="en-US"/>
        </w:rPr>
        <w:t>–</w:t>
      </w:r>
      <w:r w:rsidRPr="00ED5DE3">
        <w:rPr>
          <w:rFonts w:ascii="Open Sans" w:hAnsi="Open Sans" w:cs="Open Sans"/>
          <w:b/>
          <w:bCs/>
          <w:sz w:val="24"/>
          <w:szCs w:val="24"/>
          <w:lang w:val="en-US"/>
        </w:rPr>
        <w:t xml:space="preserve"> introduction</w:t>
      </w:r>
    </w:p>
    <w:p w14:paraId="60D10C69" w14:textId="245EB505" w:rsidR="009B1E59" w:rsidRPr="00ED5DE3" w:rsidRDefault="009B1E59" w:rsidP="009B1E59">
      <w:pPr>
        <w:rPr>
          <w:rFonts w:ascii="Open Sans" w:hAnsi="Open Sans" w:cs="Open Sans"/>
          <w:lang w:val="en-US"/>
        </w:rPr>
      </w:pPr>
      <w:r w:rsidRPr="00ED5DE3">
        <w:rPr>
          <w:rFonts w:ascii="Open Sans" w:hAnsi="Open Sans" w:cs="Open Sans"/>
          <w:lang w:val="en-US"/>
        </w:rPr>
        <w:lastRenderedPageBreak/>
        <w:t>This section introduces Nature-Based Solutions in food production and agriculture.</w:t>
      </w:r>
    </w:p>
    <w:p w14:paraId="4ED5FCB3" w14:textId="77777777" w:rsidR="009B1E59" w:rsidRPr="00ED5DE3" w:rsidRDefault="009B1E59" w:rsidP="009B1E59">
      <w:pPr>
        <w:rPr>
          <w:rFonts w:ascii="Open Sans" w:hAnsi="Open Sans" w:cs="Open Sans"/>
          <w:b/>
          <w:bCs/>
          <w:lang w:val="en-US"/>
        </w:rPr>
      </w:pPr>
      <w:r w:rsidRPr="00ED5DE3">
        <w:rPr>
          <w:rFonts w:ascii="Open Sans" w:hAnsi="Open Sans" w:cs="Open Sans"/>
          <w:b/>
          <w:bCs/>
          <w:lang w:val="en-US"/>
        </w:rPr>
        <w:t>Food security</w:t>
      </w:r>
    </w:p>
    <w:p w14:paraId="3FCFBE19" w14:textId="1DFC4F52" w:rsidR="009B1E59" w:rsidRPr="00ED5DE3" w:rsidRDefault="009B1E59" w:rsidP="009B1E59">
      <w:pPr>
        <w:rPr>
          <w:rFonts w:ascii="Open Sans" w:hAnsi="Open Sans" w:cs="Open Sans"/>
          <w:lang w:val="en-US"/>
        </w:rPr>
      </w:pPr>
      <w:r w:rsidRPr="00ED5DE3">
        <w:rPr>
          <w:rFonts w:ascii="Open Sans" w:hAnsi="Open Sans" w:cs="Open Sans"/>
          <w:lang w:val="en-US"/>
        </w:rPr>
        <w:t xml:space="preserve">The availability of food that is accessible to all, safe and reliable through time and across space is one of the major issues facing the world today. More than 795 million people are estimated to be undernourished, the vast majority of whom live in developing countries (FAO et al. 2015). Today ‘s solutions for food security need to be multi-faceted. When food security is conceptualized with an ecosystem-aware approach, it moves beyond considerations of productivity, trade and macro-economic issues, to take on a holistic view of sustainable food systems. </w:t>
      </w:r>
    </w:p>
    <w:p w14:paraId="1FBCA286" w14:textId="77777777" w:rsidR="009B1E59" w:rsidRPr="00ED5DE3" w:rsidRDefault="009B1E59" w:rsidP="009B1E59">
      <w:pPr>
        <w:rPr>
          <w:rFonts w:ascii="Open Sans" w:hAnsi="Open Sans" w:cs="Open Sans"/>
          <w:lang w:val="en-US"/>
        </w:rPr>
      </w:pPr>
      <w:r w:rsidRPr="00ED5DE3">
        <w:rPr>
          <w:rFonts w:ascii="Open Sans" w:hAnsi="Open Sans" w:cs="Open Sans"/>
          <w:lang w:val="en-US"/>
        </w:rPr>
        <w:t xml:space="preserve">Nature-Based Solutions to address food security issues could include for example  </w:t>
      </w:r>
    </w:p>
    <w:p w14:paraId="4EBC7011" w14:textId="77777777" w:rsidR="009B1E59" w:rsidRPr="00ED5DE3" w:rsidRDefault="009B1E59" w:rsidP="009B1E59">
      <w:pPr>
        <w:pStyle w:val="ListParagraph"/>
        <w:numPr>
          <w:ilvl w:val="0"/>
          <w:numId w:val="1"/>
        </w:numPr>
        <w:rPr>
          <w:rFonts w:ascii="Open Sans" w:hAnsi="Open Sans" w:cs="Open Sans"/>
          <w:lang w:val="en-US"/>
        </w:rPr>
      </w:pPr>
      <w:r w:rsidRPr="00ED5DE3">
        <w:rPr>
          <w:rFonts w:ascii="Open Sans" w:hAnsi="Open Sans" w:cs="Open Sans"/>
          <w:lang w:val="en-US"/>
        </w:rPr>
        <w:t>Protecting wild genetic resources</w:t>
      </w:r>
    </w:p>
    <w:p w14:paraId="3215D401" w14:textId="77777777" w:rsidR="009B1E59" w:rsidRPr="00ED5DE3" w:rsidRDefault="009B1E59" w:rsidP="009B1E59">
      <w:pPr>
        <w:pStyle w:val="ListParagraph"/>
        <w:numPr>
          <w:ilvl w:val="0"/>
          <w:numId w:val="1"/>
        </w:numPr>
        <w:rPr>
          <w:rFonts w:ascii="Open Sans" w:hAnsi="Open Sans" w:cs="Open Sans"/>
          <w:lang w:val="en-US"/>
        </w:rPr>
      </w:pPr>
      <w:r w:rsidRPr="00ED5DE3">
        <w:rPr>
          <w:rFonts w:ascii="Open Sans" w:hAnsi="Open Sans" w:cs="Open Sans"/>
          <w:lang w:val="en-US"/>
        </w:rPr>
        <w:t>Managing wild species</w:t>
      </w:r>
    </w:p>
    <w:p w14:paraId="136F9155" w14:textId="37D644B0" w:rsidR="009B1E59" w:rsidRPr="00ED5DE3" w:rsidRDefault="009B1E59" w:rsidP="009B1E59">
      <w:pPr>
        <w:pStyle w:val="ListParagraph"/>
        <w:numPr>
          <w:ilvl w:val="0"/>
          <w:numId w:val="1"/>
        </w:numPr>
        <w:rPr>
          <w:rFonts w:ascii="Open Sans" w:hAnsi="Open Sans" w:cs="Open Sans"/>
          <w:lang w:val="en-US"/>
        </w:rPr>
      </w:pPr>
      <w:r w:rsidRPr="00ED5DE3">
        <w:rPr>
          <w:rFonts w:ascii="Open Sans" w:hAnsi="Open Sans" w:cs="Open Sans"/>
          <w:lang w:val="en-US"/>
        </w:rPr>
        <w:t xml:space="preserve">Providing irrigation water </w:t>
      </w:r>
    </w:p>
    <w:p w14:paraId="0D8090FD" w14:textId="1A1C917A" w:rsidR="009B1E59" w:rsidRPr="00ED5DE3" w:rsidRDefault="009B1E59" w:rsidP="009B1E59">
      <w:pPr>
        <w:rPr>
          <w:rFonts w:ascii="Open Sans" w:hAnsi="Open Sans" w:cs="Open Sans"/>
          <w:b/>
          <w:bCs/>
          <w:lang w:val="en-US"/>
        </w:rPr>
      </w:pPr>
      <w:r w:rsidRPr="00ED5DE3">
        <w:rPr>
          <w:rFonts w:ascii="Open Sans" w:hAnsi="Open Sans" w:cs="Open Sans"/>
          <w:b/>
          <w:bCs/>
          <w:lang w:val="en-US"/>
        </w:rPr>
        <w:t xml:space="preserve">References: </w:t>
      </w:r>
    </w:p>
    <w:p w14:paraId="75DBE305" w14:textId="1846E67F" w:rsidR="009B1E59" w:rsidRPr="00ED5DE3" w:rsidRDefault="009B1E59" w:rsidP="009B1E59">
      <w:pPr>
        <w:rPr>
          <w:rFonts w:ascii="Open Sans" w:hAnsi="Open Sans" w:cs="Open Sans"/>
          <w:lang w:val="en-US"/>
        </w:rPr>
      </w:pPr>
      <w:r w:rsidRPr="00ED5DE3">
        <w:rPr>
          <w:rFonts w:ascii="Open Sans" w:hAnsi="Open Sans" w:cs="Open Sans"/>
          <w:lang w:val="en-US"/>
        </w:rPr>
        <w:t>FAO, IFAD and WFP (2015). The State of Food Insecurity in the World 2015. Meeting the 2015 international hunger targets: taking stock of uneven progress. Rome: Food and Agriculture Organization</w:t>
      </w:r>
    </w:p>
    <w:p w14:paraId="7572DEBB" w14:textId="77777777" w:rsidR="009B1E59" w:rsidRPr="00ED5DE3" w:rsidRDefault="009B1E59" w:rsidP="009B1E59">
      <w:pPr>
        <w:rPr>
          <w:rFonts w:ascii="Open Sans" w:hAnsi="Open Sans" w:cs="Open Sans"/>
          <w:lang w:val="en-US"/>
        </w:rPr>
      </w:pPr>
    </w:p>
    <w:p w14:paraId="3325183B" w14:textId="2240886B" w:rsidR="009B1E59" w:rsidRPr="00ED5DE3" w:rsidRDefault="00175ADF" w:rsidP="009B1E59">
      <w:pPr>
        <w:rPr>
          <w:rFonts w:ascii="Open Sans" w:hAnsi="Open Sans" w:cs="Open Sans"/>
          <w:lang w:val="en-US"/>
        </w:rPr>
      </w:pPr>
      <w:r w:rsidRPr="00ED5DE3">
        <w:rPr>
          <w:rFonts w:ascii="Open Sans" w:hAnsi="Open Sans" w:cs="Open Sans"/>
          <w:lang w:val="en-US"/>
        </w:rPr>
        <w:t xml:space="preserve">3.2 Water Management </w:t>
      </w:r>
      <w:r w:rsidRPr="00ED5DE3">
        <w:rPr>
          <w:rFonts w:ascii="Open Sans" w:hAnsi="Open Sans" w:cs="Open Sans"/>
          <w:lang w:val="en-US"/>
        </w:rPr>
        <w:t>–</w:t>
      </w:r>
      <w:r w:rsidRPr="00ED5DE3">
        <w:rPr>
          <w:rFonts w:ascii="Open Sans" w:hAnsi="Open Sans" w:cs="Open Sans"/>
          <w:lang w:val="en-US"/>
        </w:rPr>
        <w:t xml:space="preserve"> introduction</w:t>
      </w:r>
    </w:p>
    <w:p w14:paraId="60965602" w14:textId="77777777" w:rsidR="00175ADF" w:rsidRPr="00ED5DE3" w:rsidRDefault="00175ADF" w:rsidP="00175ADF">
      <w:pPr>
        <w:rPr>
          <w:rFonts w:ascii="Open Sans" w:hAnsi="Open Sans" w:cs="Open Sans"/>
          <w:b/>
          <w:bCs/>
          <w:lang w:val="en-US"/>
        </w:rPr>
      </w:pPr>
      <w:r w:rsidRPr="00ED5DE3">
        <w:rPr>
          <w:rFonts w:ascii="Open Sans" w:hAnsi="Open Sans" w:cs="Open Sans"/>
          <w:b/>
          <w:bCs/>
          <w:lang w:val="en-US"/>
        </w:rPr>
        <w:t>Water security</w:t>
      </w:r>
    </w:p>
    <w:p w14:paraId="60EF5684" w14:textId="3ED0A390" w:rsidR="00175ADF" w:rsidRPr="00ED5DE3" w:rsidRDefault="00175ADF" w:rsidP="00175ADF">
      <w:pPr>
        <w:rPr>
          <w:rFonts w:ascii="Open Sans" w:hAnsi="Open Sans" w:cs="Open Sans"/>
          <w:lang w:val="en-US"/>
        </w:rPr>
      </w:pPr>
      <w:r w:rsidRPr="00ED5DE3">
        <w:rPr>
          <w:rFonts w:ascii="Open Sans" w:hAnsi="Open Sans" w:cs="Open Sans"/>
          <w:lang w:val="en-US"/>
        </w:rPr>
        <w:t xml:space="preserve">New demands on solutions for water security are emerging in global context, where about four billion people (60 % of the world's population) live in regions with a state of near-permanent water stress. This means that the net withdrawals of surface and groundwater meet or exceed the available supply. Water stress is also exacerbated by pollution. 80-90 % of all wastewaters in developing countries is discharged directly into surface bodies, creating severe risks for human health (Corcoran et al. 2010). </w:t>
      </w:r>
    </w:p>
    <w:p w14:paraId="4B1160D8" w14:textId="72089E3B" w:rsidR="00175ADF" w:rsidRPr="00ED5DE3" w:rsidRDefault="00175ADF" w:rsidP="00175ADF">
      <w:pPr>
        <w:rPr>
          <w:rFonts w:ascii="Open Sans" w:hAnsi="Open Sans" w:cs="Open Sans"/>
          <w:lang w:val="en-US"/>
        </w:rPr>
      </w:pPr>
      <w:r w:rsidRPr="00ED5DE3">
        <w:rPr>
          <w:rFonts w:ascii="Open Sans" w:hAnsi="Open Sans" w:cs="Open Sans"/>
          <w:lang w:val="en-US"/>
        </w:rPr>
        <w:t xml:space="preserve">Applying NBS by harnessing water-related services, such as forests and wetlands, will help combat the risk of water crisis. However, nature alone cannot guarantee water security for people in every situation. Combining built and natural infrastructure is needed for efficient and effective management of water resources. </w:t>
      </w:r>
    </w:p>
    <w:p w14:paraId="17C46492" w14:textId="019A4959" w:rsidR="00175ADF" w:rsidRPr="00ED5DE3" w:rsidRDefault="00175ADF" w:rsidP="00175ADF">
      <w:pPr>
        <w:rPr>
          <w:rFonts w:ascii="Open Sans" w:hAnsi="Open Sans" w:cs="Open Sans"/>
          <w:lang w:val="en-US"/>
        </w:rPr>
      </w:pPr>
      <w:r w:rsidRPr="00ED5DE3">
        <w:rPr>
          <w:rFonts w:ascii="Open Sans" w:hAnsi="Open Sans" w:cs="Open Sans"/>
          <w:lang w:val="en-US"/>
        </w:rPr>
        <w:t>In this chapter you will familiarize yourself with technical solutions in water management in urban environments as well as drinking water solutions.</w:t>
      </w:r>
    </w:p>
    <w:p w14:paraId="5B13A89B" w14:textId="0E67B5C8" w:rsidR="00175ADF" w:rsidRPr="00ED5DE3" w:rsidRDefault="00175ADF" w:rsidP="00175ADF">
      <w:pPr>
        <w:rPr>
          <w:rFonts w:ascii="Open Sans" w:hAnsi="Open Sans" w:cs="Open Sans"/>
          <w:lang w:val="en-US"/>
        </w:rPr>
      </w:pPr>
      <w:r w:rsidRPr="00ED5DE3">
        <w:rPr>
          <w:rFonts w:ascii="Open Sans" w:hAnsi="Open Sans" w:cs="Open Sans"/>
          <w:lang w:val="en-US"/>
        </w:rPr>
        <w:t>To orientate yourself with the topic of Water Management, we have a local example of NBS that combines both food and water related solutions. After watching the interview video below, you can move further with the material.</w:t>
      </w:r>
    </w:p>
    <w:p w14:paraId="1C383A6C" w14:textId="77777777" w:rsidR="00175ADF" w:rsidRPr="00ED5DE3" w:rsidRDefault="00175ADF" w:rsidP="00175ADF">
      <w:pPr>
        <w:rPr>
          <w:rFonts w:ascii="Open Sans" w:hAnsi="Open Sans" w:cs="Open Sans"/>
          <w:b/>
          <w:bCs/>
          <w:lang w:val="en-US"/>
        </w:rPr>
      </w:pPr>
      <w:r w:rsidRPr="00ED5DE3">
        <w:rPr>
          <w:rFonts w:ascii="Open Sans" w:hAnsi="Open Sans" w:cs="Open Sans"/>
          <w:b/>
          <w:bCs/>
          <w:lang w:val="en-US"/>
        </w:rPr>
        <w:t>Case example: Strawberry cultivation in a closed-cycle system</w:t>
      </w:r>
    </w:p>
    <w:p w14:paraId="3023D08A" w14:textId="73C8875C" w:rsidR="00175ADF" w:rsidRPr="00ED5DE3" w:rsidRDefault="00175ADF" w:rsidP="00175ADF">
      <w:pPr>
        <w:rPr>
          <w:rFonts w:ascii="Open Sans" w:hAnsi="Open Sans" w:cs="Open Sans"/>
          <w:lang w:val="en-US"/>
        </w:rPr>
      </w:pPr>
      <w:r w:rsidRPr="00ED5DE3">
        <w:rPr>
          <w:rFonts w:ascii="Open Sans" w:hAnsi="Open Sans" w:cs="Open Sans"/>
          <w:lang w:val="en-US"/>
        </w:rPr>
        <w:lastRenderedPageBreak/>
        <w:t xml:space="preserve">In closed-cycle aquaculture systems, nutrients have a zero flow out, unlike in traditional agriculture, where some of the nutrients (nitrogen, phosphorus etc.) drain into ditches and waterbodies. In a closed-cycle production, nutrient targeting is more controlled. Also no harmul terrestrial plant pathogens enter the cultivating plants to cause destruction. </w:t>
      </w:r>
    </w:p>
    <w:p w14:paraId="57365EF7" w14:textId="69040A42" w:rsidR="00175ADF" w:rsidRPr="00ED5DE3" w:rsidRDefault="00175ADF" w:rsidP="00175ADF">
      <w:pPr>
        <w:rPr>
          <w:rFonts w:ascii="Open Sans" w:hAnsi="Open Sans" w:cs="Open Sans"/>
          <w:lang w:val="en-US"/>
        </w:rPr>
      </w:pPr>
      <w:r w:rsidRPr="00ED5DE3">
        <w:rPr>
          <w:rFonts w:ascii="Open Sans" w:hAnsi="Open Sans" w:cs="Open Sans"/>
          <w:lang w:val="en-US"/>
        </w:rPr>
        <w:t>Watch the interview video of Researcher Harri Kokko whose KAMUT-project tests different kinds of fertile soils for strawberry cultivation. This local solution will answer to the difficult problems considering climate change, plant pests and nutrient load of the aquatic system.</w:t>
      </w:r>
    </w:p>
    <w:p w14:paraId="71AC1B4D" w14:textId="77777777" w:rsidR="00BE2EE3" w:rsidRPr="00ED5DE3" w:rsidRDefault="00BE2EE3" w:rsidP="00BE2EE3">
      <w:pPr>
        <w:rPr>
          <w:rFonts w:ascii="Open Sans" w:hAnsi="Open Sans" w:cs="Open Sans"/>
          <w:b/>
          <w:bCs/>
          <w:lang w:val="en-US"/>
        </w:rPr>
      </w:pPr>
      <w:r w:rsidRPr="00ED5DE3">
        <w:rPr>
          <w:rFonts w:ascii="Open Sans" w:hAnsi="Open Sans" w:cs="Open Sans"/>
          <w:b/>
          <w:bCs/>
          <w:lang w:val="en-US"/>
        </w:rPr>
        <w:t>References</w:t>
      </w:r>
    </w:p>
    <w:p w14:paraId="19E9FA6D" w14:textId="72A05460" w:rsidR="00175ADF" w:rsidRPr="00ED5DE3" w:rsidRDefault="00BE2EE3" w:rsidP="00BE2EE3">
      <w:pPr>
        <w:rPr>
          <w:rFonts w:ascii="Open Sans" w:hAnsi="Open Sans" w:cs="Open Sans"/>
          <w:lang w:val="en-US"/>
        </w:rPr>
      </w:pPr>
      <w:r w:rsidRPr="00ED5DE3">
        <w:rPr>
          <w:rFonts w:ascii="Open Sans" w:hAnsi="Open Sans" w:cs="Open Sans"/>
          <w:lang w:val="en-US"/>
        </w:rPr>
        <w:t>Corcoran, E., Nellemann, C., Baker, E., Bos, R., Osborn, D. and Savelli, H. (eds) (2010). Sick Water? The central role of wastewater management in sustainable development. United Nations Environment Programme, UN-HABITAT, GRID-Arendal.</w:t>
      </w:r>
    </w:p>
    <w:p w14:paraId="769B19E9" w14:textId="77777777" w:rsidR="00BE2EE3" w:rsidRPr="00ED5DE3" w:rsidRDefault="00BE2EE3" w:rsidP="00BE2EE3">
      <w:pPr>
        <w:rPr>
          <w:rFonts w:ascii="Open Sans" w:hAnsi="Open Sans" w:cs="Open Sans"/>
          <w:lang w:val="en-US"/>
        </w:rPr>
      </w:pPr>
    </w:p>
    <w:p w14:paraId="60285E07" w14:textId="2BA6E483" w:rsidR="00BE2EE3" w:rsidRPr="00ED5DE3" w:rsidRDefault="00BE2EE3" w:rsidP="00BE2EE3">
      <w:pPr>
        <w:rPr>
          <w:rFonts w:ascii="Open Sans" w:hAnsi="Open Sans" w:cs="Open Sans"/>
          <w:b/>
          <w:bCs/>
          <w:sz w:val="24"/>
          <w:szCs w:val="24"/>
          <w:lang w:val="en-US"/>
        </w:rPr>
      </w:pPr>
      <w:r w:rsidRPr="00ED5DE3">
        <w:rPr>
          <w:rFonts w:ascii="Open Sans" w:hAnsi="Open Sans" w:cs="Open Sans"/>
          <w:b/>
          <w:bCs/>
          <w:sz w:val="24"/>
          <w:szCs w:val="24"/>
          <w:lang w:val="en-US"/>
        </w:rPr>
        <w:t xml:space="preserve">4.1 Socio-economic development </w:t>
      </w:r>
      <w:r w:rsidRPr="00ED5DE3">
        <w:rPr>
          <w:rFonts w:ascii="Open Sans" w:hAnsi="Open Sans" w:cs="Open Sans"/>
          <w:b/>
          <w:bCs/>
          <w:sz w:val="24"/>
          <w:szCs w:val="24"/>
          <w:lang w:val="en-US"/>
        </w:rPr>
        <w:t>–</w:t>
      </w:r>
      <w:r w:rsidRPr="00ED5DE3">
        <w:rPr>
          <w:rFonts w:ascii="Open Sans" w:hAnsi="Open Sans" w:cs="Open Sans"/>
          <w:b/>
          <w:bCs/>
          <w:sz w:val="24"/>
          <w:szCs w:val="24"/>
          <w:lang w:val="en-US"/>
        </w:rPr>
        <w:t xml:space="preserve"> introduction</w:t>
      </w:r>
    </w:p>
    <w:p w14:paraId="3C4E5C43" w14:textId="259BEB5C" w:rsidR="000B6A08" w:rsidRPr="00ED5DE3" w:rsidRDefault="000B6A08" w:rsidP="000B6A08">
      <w:pPr>
        <w:rPr>
          <w:rFonts w:ascii="Open Sans" w:hAnsi="Open Sans" w:cs="Open Sans"/>
          <w:lang w:val="en-US"/>
        </w:rPr>
      </w:pPr>
      <w:r w:rsidRPr="00ED5DE3">
        <w:rPr>
          <w:rFonts w:ascii="Open Sans" w:hAnsi="Open Sans" w:cs="Open Sans"/>
          <w:lang w:val="en-US"/>
        </w:rPr>
        <w:t>In this section you will get to know how NBS can be part of our life in cities and communities. They offer a range of socio-economic benefits that can significantly contribute to sustainable development and recovery efforts. NBS can for example generate employment opportunities across various sectors such as agriculture, forestry, and tourism. For instance, the Natura 2000 network in Europe supports approximately 4.4 million jobs (WWF and International Labour Organization, 2020). In addition to creating jobs, NBS can significantly reduce costs to governments and individuals by decreasing the financial burden on health services (Robinson and Breed, 2019). We look at the connection of NBS and human health in a later section.</w:t>
      </w:r>
    </w:p>
    <w:p w14:paraId="2D5041AC" w14:textId="2DA161DE" w:rsidR="000B6A08" w:rsidRPr="00ED5DE3" w:rsidRDefault="000B6A08" w:rsidP="000B6A08">
      <w:pPr>
        <w:rPr>
          <w:rFonts w:ascii="Open Sans" w:hAnsi="Open Sans" w:cs="Open Sans"/>
          <w:lang w:val="en-US"/>
        </w:rPr>
      </w:pPr>
      <w:r w:rsidRPr="00ED5DE3">
        <w:rPr>
          <w:rFonts w:ascii="Open Sans" w:hAnsi="Open Sans" w:cs="Open Sans"/>
          <w:lang w:val="en-US"/>
        </w:rPr>
        <w:t xml:space="preserve">Nature-Based Solutions like Urban Green areas can make cities more attractive to new investors, residents and visitors (Faivre et al., 2017). With good planning and transparent processes NBS can also help to achieve social and environmental justice goals. NBS can reduce health inequalities by ensuring a fair distribution of health benefits from green spaces which are especially important for vulnerable communities who are disproportionately impacted by chronic health conditions and have lower access to green spaces (Raymond et al., 2017). However, transparent and bottom-up governmental processes are key here, as some environmental justice researchers have criticized that NBS tends to serve high-income groups, which is unfair to disadvantaged groups in society (Anguelovski et al. 2022). </w:t>
      </w:r>
    </w:p>
    <w:p w14:paraId="3483B234" w14:textId="6C9424EA" w:rsidR="000B6A08" w:rsidRPr="00ED5DE3" w:rsidRDefault="000B6A08" w:rsidP="000B6A08">
      <w:pPr>
        <w:rPr>
          <w:rFonts w:ascii="Open Sans" w:hAnsi="Open Sans" w:cs="Open Sans"/>
          <w:lang w:val="en-US"/>
        </w:rPr>
      </w:pPr>
      <w:r w:rsidRPr="00ED5DE3">
        <w:rPr>
          <w:rFonts w:ascii="Open Sans" w:hAnsi="Open Sans" w:cs="Open Sans"/>
          <w:lang w:val="en-US"/>
        </w:rPr>
        <w:t>In this course on the topic of Sosio-economi development we will focuse on urban green area management and how people and goverments can work with nature.</w:t>
      </w:r>
    </w:p>
    <w:p w14:paraId="4483BC9B" w14:textId="11A59BBE" w:rsidR="000B6A08" w:rsidRPr="00ED5DE3" w:rsidRDefault="000B6A08" w:rsidP="000B6A08">
      <w:pPr>
        <w:rPr>
          <w:rFonts w:ascii="Open Sans" w:hAnsi="Open Sans" w:cs="Open Sans"/>
          <w:b/>
          <w:bCs/>
          <w:lang w:val="en-US"/>
        </w:rPr>
      </w:pPr>
      <w:r w:rsidRPr="00ED5DE3">
        <w:rPr>
          <w:rFonts w:ascii="Open Sans" w:hAnsi="Open Sans" w:cs="Open Sans"/>
          <w:b/>
          <w:bCs/>
          <w:lang w:val="en-US"/>
        </w:rPr>
        <w:t>References:</w:t>
      </w:r>
    </w:p>
    <w:p w14:paraId="25F585BC" w14:textId="2955A74F" w:rsidR="000B6A08" w:rsidRPr="00ED5DE3" w:rsidRDefault="000B6A08" w:rsidP="000B6A08">
      <w:pPr>
        <w:rPr>
          <w:rFonts w:ascii="Open Sans" w:hAnsi="Open Sans" w:cs="Open Sans"/>
          <w:lang w:val="en-US"/>
        </w:rPr>
      </w:pPr>
      <w:r w:rsidRPr="00ED5DE3">
        <w:rPr>
          <w:rFonts w:ascii="Open Sans" w:hAnsi="Open Sans" w:cs="Open Sans"/>
          <w:lang w:val="en-US"/>
        </w:rPr>
        <w:t>Kopsieker L., Gerritsen E., Stainforth T., Lucic A., Costa Domingo G., Naumann S., Röschel L. and Davis Mc. (2021) “Nature-based solutions and their socio-economic benefits for Europe’s recovery: Enhancing the uptake of nature-based solutions across EU policies”. Policy briefing by the Institute for European Environmental Policy (IEEP) and the Ecologic Institute</w:t>
      </w:r>
    </w:p>
    <w:p w14:paraId="57B1DAFA" w14:textId="045227DD" w:rsidR="000B6A08" w:rsidRPr="00ED5DE3" w:rsidRDefault="000B6A08" w:rsidP="000B6A08">
      <w:pPr>
        <w:rPr>
          <w:rFonts w:ascii="Open Sans" w:hAnsi="Open Sans" w:cs="Open Sans"/>
          <w:lang w:val="en-US"/>
        </w:rPr>
      </w:pPr>
      <w:r w:rsidRPr="00ED5DE3">
        <w:rPr>
          <w:rFonts w:ascii="Open Sans" w:hAnsi="Open Sans" w:cs="Open Sans"/>
          <w:lang w:val="en-US"/>
        </w:rPr>
        <w:lastRenderedPageBreak/>
        <w:t xml:space="preserve">Anguelovski, Isabelle, Anna Livia Brand, Malini Ranganathan, and Derek Hyra. 2022. “Decolonizing the Green City: From Environmental Privilege to Emancipatory Green Justice.” Environmental Justice 15(1):1–11. doi:10.1089/env.2021.0014. </w:t>
      </w:r>
    </w:p>
    <w:p w14:paraId="45DFFCAA" w14:textId="0F96AC25" w:rsidR="000B6A08" w:rsidRPr="00ED5DE3" w:rsidRDefault="000B6A08" w:rsidP="000B6A08">
      <w:pPr>
        <w:rPr>
          <w:rFonts w:ascii="Open Sans" w:hAnsi="Open Sans" w:cs="Open Sans"/>
          <w:lang w:val="en-US"/>
        </w:rPr>
      </w:pPr>
      <w:r w:rsidRPr="00ED5DE3">
        <w:rPr>
          <w:rFonts w:ascii="Open Sans" w:hAnsi="Open Sans" w:cs="Open Sans"/>
          <w:lang w:val="en-US"/>
        </w:rPr>
        <w:t>Faivre, N., Fritz, M., Freitas, T., de Boissezon, B. and Vandewoestijne, S. (2017) 'Nature-Based Solutions in the EU: Innovating with nature to address social, eco</w:t>
      </w:r>
      <w:r w:rsidRPr="00ED5DE3">
        <w:rPr>
          <w:rFonts w:ascii="Open Sans" w:hAnsi="Open Sans" w:cs="Open Sans"/>
          <w:lang w:val="en-US"/>
        </w:rPr>
        <w:t>nomic and environmental challenges', Environmental Research, 159, pp 509-518.</w:t>
      </w:r>
    </w:p>
    <w:p w14:paraId="68AC26D6" w14:textId="2CDCD304" w:rsidR="000B6A08" w:rsidRPr="00ED5DE3" w:rsidRDefault="000B6A08" w:rsidP="000B6A08">
      <w:pPr>
        <w:rPr>
          <w:rFonts w:ascii="Open Sans" w:hAnsi="Open Sans" w:cs="Open Sans"/>
          <w:lang w:val="en-US"/>
        </w:rPr>
      </w:pPr>
      <w:r w:rsidRPr="00ED5DE3">
        <w:rPr>
          <w:rFonts w:ascii="Open Sans" w:hAnsi="Open Sans" w:cs="Open Sans"/>
          <w:lang w:val="en-US"/>
        </w:rPr>
        <w:t>Raymond, C. M., Berry, P., Breil, M., Nita, M. R., Kabisch, N., de Bel, M., Enzi, V.,  Frantzeskaki, N., Geneletti, D., Cardinaletti, M., Lovinger, L., Basnou, C., Monteiro, A., Robrecht, H., Sgrigna, G., Munari, L. and Calfapietra, C. (2017) An Impact Eval</w:t>
      </w:r>
      <w:r w:rsidRPr="00ED5DE3">
        <w:rPr>
          <w:rFonts w:ascii="Open Sans" w:hAnsi="Open Sans" w:cs="Open Sans"/>
          <w:lang w:val="en-US"/>
        </w:rPr>
        <w:t>uation Framework to Support Planning and Evaluation of Nature-based Solutions  Projects, United Kingdom: EKLIPSE.</w:t>
      </w:r>
    </w:p>
    <w:p w14:paraId="47CA8C93" w14:textId="67772CB9" w:rsidR="000B6A08" w:rsidRPr="00ED5DE3" w:rsidRDefault="000B6A08" w:rsidP="000B6A08">
      <w:pPr>
        <w:rPr>
          <w:rFonts w:ascii="Open Sans" w:hAnsi="Open Sans" w:cs="Open Sans"/>
          <w:lang w:val="en-US"/>
        </w:rPr>
      </w:pPr>
      <w:r w:rsidRPr="00ED5DE3">
        <w:rPr>
          <w:rFonts w:ascii="Open Sans" w:hAnsi="Open Sans" w:cs="Open Sans"/>
          <w:lang w:val="en-US"/>
        </w:rPr>
        <w:t>Robinson, J. M. and Breed, M. F. (2019) 'Green Prescriptions and Their Co-Bene</w:t>
      </w:r>
      <w:r w:rsidRPr="00ED5DE3">
        <w:rPr>
          <w:rFonts w:ascii="Open Sans" w:hAnsi="Open Sans" w:cs="Open Sans"/>
          <w:lang w:val="en-US"/>
        </w:rPr>
        <w:t>fits: Integrative Strategies for Public and Environmental Health', Challenges, 10(1).</w:t>
      </w:r>
    </w:p>
    <w:p w14:paraId="0088B9D2" w14:textId="53233819" w:rsidR="000B6A08" w:rsidRPr="00ED5DE3" w:rsidRDefault="000B6A08" w:rsidP="000B6A08">
      <w:pPr>
        <w:rPr>
          <w:rFonts w:ascii="Open Sans" w:hAnsi="Open Sans" w:cs="Open Sans"/>
          <w:lang w:val="en-US"/>
        </w:rPr>
      </w:pPr>
      <w:r w:rsidRPr="00ED5DE3">
        <w:rPr>
          <w:rFonts w:ascii="Open Sans" w:hAnsi="Open Sans" w:cs="Open Sans"/>
          <w:lang w:val="en-US"/>
        </w:rPr>
        <w:t>Raymond, C. M., Berry, P., Breil, M., Nita, M. R., Kabisch, N., de Bel, M., Enzi, V.,  Frantzeskaki, N., Geneletti, D., Cardinaletti, M., Lovinger, L., Basnou, C., Monteiro, A., Robrecht, H., Sgrigna, G., Munari, L. and Calfapietra, C. (2017) An Impact Eval</w:t>
      </w:r>
      <w:r w:rsidRPr="00ED5DE3">
        <w:rPr>
          <w:rFonts w:ascii="Open Sans" w:hAnsi="Open Sans" w:cs="Open Sans"/>
          <w:lang w:val="en-US"/>
        </w:rPr>
        <w:t>uation Framework to Support Planning and Evaluation of Nature-based Solutions  Projects, United Kingdom: EKLIPSE.</w:t>
      </w:r>
    </w:p>
    <w:p w14:paraId="5B5EBC1F" w14:textId="184D4EEF" w:rsidR="00BE2EE3" w:rsidRPr="00ED5DE3" w:rsidRDefault="000B6A08" w:rsidP="000B6A08">
      <w:pPr>
        <w:rPr>
          <w:rFonts w:ascii="Open Sans" w:hAnsi="Open Sans" w:cs="Open Sans"/>
          <w:lang w:val="en-US"/>
        </w:rPr>
      </w:pPr>
      <w:r w:rsidRPr="00ED5DE3">
        <w:rPr>
          <w:rFonts w:ascii="Open Sans" w:hAnsi="Open Sans" w:cs="Open Sans"/>
          <w:lang w:val="en-US"/>
        </w:rPr>
        <w:t>WWF and International Labour Organization (2020) Nature Hires: How Nature-based Solutions can power a green jobs recovery: WWF, ILO.</w:t>
      </w:r>
    </w:p>
    <w:p w14:paraId="7616DBC8" w14:textId="77777777" w:rsidR="000B6A08" w:rsidRPr="00ED5DE3" w:rsidRDefault="000B6A08" w:rsidP="000B6A08">
      <w:pPr>
        <w:rPr>
          <w:rFonts w:ascii="Open Sans" w:hAnsi="Open Sans" w:cs="Open Sans"/>
          <w:lang w:val="en-US"/>
        </w:rPr>
      </w:pPr>
    </w:p>
    <w:p w14:paraId="571E15F6" w14:textId="5509D980" w:rsidR="000B6A08" w:rsidRPr="00ED5DE3" w:rsidRDefault="00797913" w:rsidP="000B6A08">
      <w:pPr>
        <w:rPr>
          <w:rFonts w:ascii="Open Sans" w:hAnsi="Open Sans" w:cs="Open Sans"/>
          <w:b/>
          <w:bCs/>
          <w:sz w:val="24"/>
          <w:szCs w:val="24"/>
          <w:lang w:val="en-US"/>
        </w:rPr>
      </w:pPr>
      <w:r w:rsidRPr="00ED5DE3">
        <w:rPr>
          <w:rFonts w:ascii="Open Sans" w:hAnsi="Open Sans" w:cs="Open Sans"/>
          <w:b/>
          <w:bCs/>
          <w:sz w:val="24"/>
          <w:szCs w:val="24"/>
          <w:lang w:val="en-US"/>
        </w:rPr>
        <w:t>4.2 Local Knowlege Introduction</w:t>
      </w:r>
    </w:p>
    <w:p w14:paraId="2DBFA6B3" w14:textId="2552C4A7" w:rsidR="00797913" w:rsidRPr="00ED5DE3" w:rsidRDefault="00797913" w:rsidP="000B6A08">
      <w:pPr>
        <w:rPr>
          <w:rFonts w:ascii="Open Sans" w:hAnsi="Open Sans" w:cs="Open Sans"/>
          <w:lang w:val="en-US"/>
        </w:rPr>
      </w:pPr>
      <w:r w:rsidRPr="00ED5DE3">
        <w:rPr>
          <w:rFonts w:ascii="Open Sans" w:hAnsi="Open Sans" w:cs="Open Sans"/>
          <w:lang w:val="en-US"/>
        </w:rPr>
        <w:t>Indigenous peoples and local communities in particular hold and manage a significant part of the Earth’s most biodiverse regions and play a vital role in conserving lands, seas and resources as well as their sustainable uses. For example, Indigenous Protected Areas, where traditional and sustainable uses of natural resources are respected may represent an NBS that will benefit the survival of traditional knowledge and communities. Similarly, rural landowners, whether they are Indigenous or not, will have more informed understanding than anyone else of the land they are managing. In this section we introduce Finnish Non-governmental organizations (NGOs) that have collaborated with local residents to save local species, landscapes and the recreational use of the areas.</w:t>
      </w:r>
    </w:p>
    <w:p w14:paraId="4D88FCC5" w14:textId="77777777" w:rsidR="00797913" w:rsidRPr="00ED5DE3" w:rsidRDefault="00797913" w:rsidP="000B6A08">
      <w:pPr>
        <w:rPr>
          <w:rFonts w:ascii="Open Sans" w:hAnsi="Open Sans" w:cs="Open Sans"/>
          <w:lang w:val="en-US"/>
        </w:rPr>
      </w:pPr>
    </w:p>
    <w:p w14:paraId="49A22D0C" w14:textId="5A9421E1" w:rsidR="00797913" w:rsidRPr="00ED5DE3" w:rsidRDefault="00ED5DE3" w:rsidP="000B6A08">
      <w:pPr>
        <w:rPr>
          <w:rFonts w:ascii="Open Sans" w:hAnsi="Open Sans" w:cs="Open Sans"/>
          <w:b/>
          <w:bCs/>
          <w:sz w:val="24"/>
          <w:szCs w:val="24"/>
          <w:lang w:val="en-US"/>
        </w:rPr>
      </w:pPr>
      <w:r w:rsidRPr="00ED5DE3">
        <w:rPr>
          <w:rFonts w:ascii="Open Sans" w:hAnsi="Open Sans" w:cs="Open Sans"/>
          <w:b/>
          <w:bCs/>
          <w:sz w:val="24"/>
          <w:szCs w:val="24"/>
          <w:lang w:val="en-US"/>
        </w:rPr>
        <w:t>4.3 Human health</w:t>
      </w:r>
    </w:p>
    <w:p w14:paraId="42E8F698" w14:textId="77777777" w:rsidR="00ED5DE3" w:rsidRPr="00ED5DE3" w:rsidRDefault="00ED5DE3" w:rsidP="00ED5DE3">
      <w:pPr>
        <w:rPr>
          <w:rFonts w:ascii="Open Sans" w:hAnsi="Open Sans" w:cs="Open Sans"/>
          <w:b/>
          <w:bCs/>
          <w:lang w:val="en-US"/>
        </w:rPr>
      </w:pPr>
      <w:r w:rsidRPr="00ED5DE3">
        <w:rPr>
          <w:rFonts w:ascii="Open Sans" w:hAnsi="Open Sans" w:cs="Open Sans"/>
          <w:b/>
          <w:bCs/>
          <w:lang w:val="en-US"/>
        </w:rPr>
        <w:t>Introduction</w:t>
      </w:r>
    </w:p>
    <w:p w14:paraId="4E76D643" w14:textId="43B7CE01" w:rsidR="00ED5DE3" w:rsidRPr="00ED5DE3" w:rsidRDefault="00ED5DE3" w:rsidP="00ED5DE3">
      <w:pPr>
        <w:rPr>
          <w:rFonts w:ascii="Open Sans" w:hAnsi="Open Sans" w:cs="Open Sans"/>
          <w:lang w:val="en-US"/>
        </w:rPr>
      </w:pPr>
      <w:r w:rsidRPr="00ED5DE3">
        <w:rPr>
          <w:rFonts w:ascii="Open Sans" w:hAnsi="Open Sans" w:cs="Open Sans"/>
          <w:lang w:val="en-US"/>
        </w:rPr>
        <w:t xml:space="preserve">Human health is a state of complete physical, mental and social well-being and not merely the absence of disease or infirmity. The natural environment (ecosystems, the climate and biodiversity) is recognized as being an influential determinant of human health and well-being. Several studies have shown how the benefits of green space encounters can influence </w:t>
      </w:r>
      <w:r w:rsidRPr="00ED5DE3">
        <w:rPr>
          <w:rFonts w:ascii="Open Sans" w:hAnsi="Open Sans" w:cs="Open Sans"/>
          <w:lang w:val="en-US"/>
        </w:rPr>
        <w:lastRenderedPageBreak/>
        <w:t>health positively. Ecosystems such as forests and coral reefs have also been found to play a vital role in providing a source of medicines and pharmaceutical products.</w:t>
      </w:r>
    </w:p>
    <w:p w14:paraId="5B8DF91A" w14:textId="496A8F8B" w:rsidR="00ED5DE3" w:rsidRPr="00ED5DE3" w:rsidRDefault="00ED5DE3" w:rsidP="00ED5DE3">
      <w:pPr>
        <w:rPr>
          <w:rFonts w:ascii="Open Sans" w:hAnsi="Open Sans" w:cs="Open Sans"/>
          <w:lang w:val="en-US"/>
        </w:rPr>
      </w:pPr>
      <w:r w:rsidRPr="00ED5DE3">
        <w:rPr>
          <w:rFonts w:ascii="Open Sans" w:hAnsi="Open Sans" w:cs="Open Sans"/>
          <w:lang w:val="en-US"/>
        </w:rPr>
        <w:t>Most Nature-Based Solutions do improve human health by default. However, there are some considerations that can be taken into account when addressing human health and wellbeing specifically. The IUCN and the WHO have made ten recommendations for ensuring human health and wellbeing in NBS:</w:t>
      </w:r>
    </w:p>
    <w:p w14:paraId="35BABB2B" w14:textId="77777777" w:rsidR="00ED5DE3" w:rsidRPr="00ED5DE3" w:rsidRDefault="00ED5DE3" w:rsidP="00ED5DE3">
      <w:pPr>
        <w:pStyle w:val="ListParagraph"/>
        <w:numPr>
          <w:ilvl w:val="0"/>
          <w:numId w:val="2"/>
        </w:numPr>
        <w:rPr>
          <w:rFonts w:ascii="Open Sans" w:hAnsi="Open Sans" w:cs="Open Sans"/>
          <w:lang w:val="en-US"/>
        </w:rPr>
      </w:pPr>
      <w:r w:rsidRPr="00ED5DE3">
        <w:rPr>
          <w:rFonts w:ascii="Open Sans" w:hAnsi="Open Sans" w:cs="Open Sans"/>
          <w:lang w:val="en-US"/>
        </w:rPr>
        <w:t>Biodiversity, healthy ecosystems, and a stable climate are essential to achieving good health outcomes.</w:t>
      </w:r>
    </w:p>
    <w:p w14:paraId="74B6BA86" w14:textId="77777777" w:rsidR="00ED5DE3" w:rsidRPr="00ED5DE3" w:rsidRDefault="00ED5DE3" w:rsidP="00ED5DE3">
      <w:pPr>
        <w:pStyle w:val="ListParagraph"/>
        <w:numPr>
          <w:ilvl w:val="0"/>
          <w:numId w:val="2"/>
        </w:numPr>
        <w:rPr>
          <w:rFonts w:ascii="Open Sans" w:hAnsi="Open Sans" w:cs="Open Sans"/>
          <w:lang w:val="en-US"/>
        </w:rPr>
      </w:pPr>
      <w:r w:rsidRPr="00ED5DE3">
        <w:rPr>
          <w:rFonts w:ascii="Open Sans" w:hAnsi="Open Sans" w:cs="Open Sans"/>
          <w:lang w:val="en-US"/>
        </w:rPr>
        <w:t>Educate and empower health professionals to engage in nature-based solutions.</w:t>
      </w:r>
    </w:p>
    <w:p w14:paraId="2540CED9" w14:textId="77777777" w:rsidR="00ED5DE3" w:rsidRPr="00ED5DE3" w:rsidRDefault="00ED5DE3" w:rsidP="00ED5DE3">
      <w:pPr>
        <w:pStyle w:val="ListParagraph"/>
        <w:numPr>
          <w:ilvl w:val="0"/>
          <w:numId w:val="2"/>
        </w:numPr>
        <w:rPr>
          <w:rFonts w:ascii="Open Sans" w:hAnsi="Open Sans" w:cs="Open Sans"/>
          <w:lang w:val="en-US"/>
        </w:rPr>
      </w:pPr>
      <w:r w:rsidRPr="00ED5DE3">
        <w:rPr>
          <w:rFonts w:ascii="Open Sans" w:hAnsi="Open Sans" w:cs="Open Sans"/>
          <w:lang w:val="en-US"/>
        </w:rPr>
        <w:t>Redesign food systems to be nature-positive, resilient and to sustain healthy communities.</w:t>
      </w:r>
    </w:p>
    <w:p w14:paraId="36D85A78" w14:textId="77777777" w:rsidR="00ED5DE3" w:rsidRPr="00ED5DE3" w:rsidRDefault="00ED5DE3" w:rsidP="00ED5DE3">
      <w:pPr>
        <w:pStyle w:val="ListParagraph"/>
        <w:numPr>
          <w:ilvl w:val="0"/>
          <w:numId w:val="2"/>
        </w:numPr>
        <w:rPr>
          <w:rFonts w:ascii="Open Sans" w:hAnsi="Open Sans" w:cs="Open Sans"/>
          <w:lang w:val="en-US"/>
        </w:rPr>
      </w:pPr>
      <w:r w:rsidRPr="00ED5DE3">
        <w:rPr>
          <w:rFonts w:ascii="Open Sans" w:hAnsi="Open Sans" w:cs="Open Sans"/>
          <w:lang w:val="en-US"/>
        </w:rPr>
        <w:t>Use nature-based solutions to support access to safe water, sanitation, hygiene, and waste management.</w:t>
      </w:r>
    </w:p>
    <w:p w14:paraId="181C35DA" w14:textId="77777777" w:rsidR="00ED5DE3" w:rsidRPr="00ED5DE3" w:rsidRDefault="00ED5DE3" w:rsidP="00ED5DE3">
      <w:pPr>
        <w:pStyle w:val="ListParagraph"/>
        <w:numPr>
          <w:ilvl w:val="0"/>
          <w:numId w:val="2"/>
        </w:numPr>
        <w:rPr>
          <w:rFonts w:ascii="Open Sans" w:hAnsi="Open Sans" w:cs="Open Sans"/>
          <w:lang w:val="en-US"/>
        </w:rPr>
      </w:pPr>
      <w:r w:rsidRPr="00ED5DE3">
        <w:rPr>
          <w:rFonts w:ascii="Open Sans" w:hAnsi="Open Sans" w:cs="Open Sans"/>
          <w:lang w:val="en-US"/>
        </w:rPr>
        <w:t>Integrate urban ecosystems with public health planning.</w:t>
      </w:r>
    </w:p>
    <w:p w14:paraId="24F0F1DD" w14:textId="77777777" w:rsidR="00ED5DE3" w:rsidRPr="00ED5DE3" w:rsidRDefault="00ED5DE3" w:rsidP="00ED5DE3">
      <w:pPr>
        <w:pStyle w:val="ListParagraph"/>
        <w:numPr>
          <w:ilvl w:val="0"/>
          <w:numId w:val="2"/>
        </w:numPr>
        <w:rPr>
          <w:rFonts w:ascii="Open Sans" w:hAnsi="Open Sans" w:cs="Open Sans"/>
          <w:lang w:val="en-US"/>
        </w:rPr>
      </w:pPr>
      <w:r w:rsidRPr="00ED5DE3">
        <w:rPr>
          <w:rFonts w:ascii="Open Sans" w:hAnsi="Open Sans" w:cs="Open Sans"/>
          <w:lang w:val="en-US"/>
        </w:rPr>
        <w:t>Redesign energy and transport systems to integrate green-gray infrastructure to support health.</w:t>
      </w:r>
    </w:p>
    <w:p w14:paraId="7FFEE2E2" w14:textId="77777777" w:rsidR="00ED5DE3" w:rsidRPr="00ED5DE3" w:rsidRDefault="00ED5DE3" w:rsidP="00ED5DE3">
      <w:pPr>
        <w:pStyle w:val="ListParagraph"/>
        <w:numPr>
          <w:ilvl w:val="0"/>
          <w:numId w:val="2"/>
        </w:numPr>
        <w:rPr>
          <w:rFonts w:ascii="Open Sans" w:hAnsi="Open Sans" w:cs="Open Sans"/>
          <w:lang w:val="en-US"/>
        </w:rPr>
      </w:pPr>
      <w:r w:rsidRPr="00ED5DE3">
        <w:rPr>
          <w:rFonts w:ascii="Open Sans" w:hAnsi="Open Sans" w:cs="Open Sans"/>
          <w:lang w:val="en-US"/>
        </w:rPr>
        <w:t>Place equity at the centre of the design, governance, and implementation of nature-based solutions for health.</w:t>
      </w:r>
    </w:p>
    <w:p w14:paraId="339736FD" w14:textId="77777777" w:rsidR="00ED5DE3" w:rsidRPr="00ED5DE3" w:rsidRDefault="00ED5DE3" w:rsidP="00ED5DE3">
      <w:pPr>
        <w:pStyle w:val="ListParagraph"/>
        <w:numPr>
          <w:ilvl w:val="0"/>
          <w:numId w:val="2"/>
        </w:numPr>
        <w:rPr>
          <w:rFonts w:ascii="Open Sans" w:hAnsi="Open Sans" w:cs="Open Sans"/>
          <w:lang w:val="en-US"/>
        </w:rPr>
      </w:pPr>
      <w:r w:rsidRPr="00ED5DE3">
        <w:rPr>
          <w:rFonts w:ascii="Open Sans" w:hAnsi="Open Sans" w:cs="Open Sans"/>
          <w:lang w:val="en-US"/>
        </w:rPr>
        <w:t>Empower Indigenous Peoples and under-resourced communities to safeguard human health and well-being.</w:t>
      </w:r>
    </w:p>
    <w:p w14:paraId="438A44D8" w14:textId="77777777" w:rsidR="00ED5DE3" w:rsidRPr="00ED5DE3" w:rsidRDefault="00ED5DE3" w:rsidP="00ED5DE3">
      <w:pPr>
        <w:pStyle w:val="ListParagraph"/>
        <w:numPr>
          <w:ilvl w:val="0"/>
          <w:numId w:val="2"/>
        </w:numPr>
        <w:rPr>
          <w:rFonts w:ascii="Open Sans" w:hAnsi="Open Sans" w:cs="Open Sans"/>
          <w:lang w:val="en-US"/>
        </w:rPr>
      </w:pPr>
      <w:r w:rsidRPr="00ED5DE3">
        <w:rPr>
          <w:rFonts w:ascii="Open Sans" w:hAnsi="Open Sans" w:cs="Open Sans"/>
          <w:lang w:val="en-US"/>
        </w:rPr>
        <w:t>Support/enable youth leadership and innovation in nature and health decision-making.</w:t>
      </w:r>
    </w:p>
    <w:p w14:paraId="381CFB2F" w14:textId="6B6CAF34" w:rsidR="00ED5DE3" w:rsidRPr="00ED5DE3" w:rsidRDefault="00ED5DE3" w:rsidP="00ED5DE3">
      <w:pPr>
        <w:pStyle w:val="ListParagraph"/>
        <w:numPr>
          <w:ilvl w:val="0"/>
          <w:numId w:val="2"/>
        </w:numPr>
        <w:rPr>
          <w:rFonts w:ascii="Open Sans" w:hAnsi="Open Sans" w:cs="Open Sans"/>
          <w:lang w:val="en-US"/>
        </w:rPr>
      </w:pPr>
      <w:r w:rsidRPr="00ED5DE3">
        <w:rPr>
          <w:rFonts w:ascii="Open Sans" w:hAnsi="Open Sans" w:cs="Open Sans"/>
          <w:lang w:val="en-US"/>
        </w:rPr>
        <w:t>Finance inclusive nature-based solutions that prioritize health outcomes.</w:t>
      </w:r>
    </w:p>
    <w:p w14:paraId="1C7D3EC3" w14:textId="5410C69C" w:rsidR="00ED5DE3" w:rsidRPr="00ED5DE3" w:rsidRDefault="00ED5DE3" w:rsidP="00ED5DE3">
      <w:pPr>
        <w:rPr>
          <w:rFonts w:ascii="Open Sans" w:hAnsi="Open Sans" w:cs="Open Sans"/>
          <w:lang w:val="en-US"/>
        </w:rPr>
      </w:pPr>
      <w:r w:rsidRPr="00ED5DE3">
        <w:rPr>
          <w:rFonts w:ascii="Open Sans" w:hAnsi="Open Sans" w:cs="Open Sans"/>
          <w:lang w:val="en-US"/>
        </w:rPr>
        <w:t>In a recent study by the Natural Resources Institute Finland (Luke) and the Finnish Institute for Health and Welfare (THL), funded by Sitra, the economic impact of nature's health benefits in combating common diseases in Finland was evaluated. Findings by the study suggest that nature could provide annual savings of hundreds of millions of euros in healthcare, particularly in preventing depression and type 2 diabetes, as well as reducing medication costs for asthma.</w:t>
      </w:r>
    </w:p>
    <w:p w14:paraId="4C545E1E" w14:textId="74431184" w:rsidR="00ED5DE3" w:rsidRPr="00ED5DE3" w:rsidRDefault="00ED5DE3" w:rsidP="00ED5DE3">
      <w:pPr>
        <w:rPr>
          <w:rFonts w:ascii="Open Sans" w:hAnsi="Open Sans" w:cs="Open Sans"/>
          <w:lang w:val="en-US"/>
        </w:rPr>
      </w:pPr>
      <w:r w:rsidRPr="00ED5DE3">
        <w:rPr>
          <w:rFonts w:ascii="Open Sans" w:hAnsi="Open Sans" w:cs="Open Sans"/>
          <w:lang w:val="en-US"/>
        </w:rPr>
        <w:t>The study revealed strong evidence that natural environments enhance mental well-being by protecting against depression and alleviating stress. Given that mental health disorders cost Finland approximately 11 billion euros annually, these insights are significant. Additionally, nature helps prevent cardiovascular diseases and potentially respiratory conditions like asthma and allergies.</w:t>
      </w:r>
    </w:p>
    <w:p w14:paraId="6096A2E3" w14:textId="3DBD4A5A" w:rsidR="00ED5DE3" w:rsidRPr="00ED5DE3" w:rsidRDefault="00ED5DE3" w:rsidP="00ED5DE3">
      <w:pPr>
        <w:rPr>
          <w:rFonts w:ascii="Open Sans" w:hAnsi="Open Sans" w:cs="Open Sans"/>
          <w:lang w:val="en-US"/>
        </w:rPr>
      </w:pPr>
      <w:r w:rsidRPr="00ED5DE3">
        <w:rPr>
          <w:rFonts w:ascii="Open Sans" w:hAnsi="Open Sans" w:cs="Open Sans"/>
          <w:lang w:val="en-US"/>
        </w:rPr>
        <w:t>This was the first time in Finland that the financial significance of nature's health effects were assesed. The results underscore the potential of integrating nature-based solutions into daily life and healthcare to enhance public health and reduce societal costs associated with common diseases. Benefits of Nature-Based Solutions to healthcare arise through various mechanisms, including protection from pollution, in which we will focuse on in this chapter. You will learn how we can use Nature-Based Solutions to remidiate contaminated areas.</w:t>
      </w:r>
    </w:p>
    <w:p w14:paraId="5B3CEB22" w14:textId="41F625C7" w:rsidR="00ED5DE3" w:rsidRPr="00ED5DE3" w:rsidRDefault="00ED5DE3" w:rsidP="00ED5DE3">
      <w:pPr>
        <w:rPr>
          <w:rFonts w:ascii="Open Sans" w:hAnsi="Open Sans" w:cs="Open Sans"/>
          <w:b/>
          <w:bCs/>
          <w:lang w:val="en-US"/>
        </w:rPr>
      </w:pPr>
      <w:r w:rsidRPr="00ED5DE3">
        <w:rPr>
          <w:rFonts w:ascii="Open Sans" w:hAnsi="Open Sans" w:cs="Open Sans"/>
          <w:b/>
          <w:bCs/>
          <w:lang w:val="en-US"/>
        </w:rPr>
        <w:t>References:</w:t>
      </w:r>
    </w:p>
    <w:p w14:paraId="0F7ECC72" w14:textId="11B84B3E" w:rsidR="00ED5DE3" w:rsidRPr="00ED5DE3" w:rsidRDefault="00ED5DE3" w:rsidP="00ED5DE3">
      <w:pPr>
        <w:rPr>
          <w:rFonts w:ascii="Open Sans" w:hAnsi="Open Sans" w:cs="Open Sans"/>
          <w:lang w:val="en-US"/>
        </w:rPr>
      </w:pPr>
      <w:r w:rsidRPr="00ED5DE3">
        <w:rPr>
          <w:rFonts w:ascii="Open Sans" w:hAnsi="Open Sans" w:cs="Open Sans"/>
          <w:lang w:val="en-US"/>
        </w:rPr>
        <w:lastRenderedPageBreak/>
        <w:t>International Union for Conservation of Nature (IUCN) &amp; World Health Organization (WHO). 2023. Highlights Brief: Nature-based solutions for health. Available at: https://iucn.org/sites/default/files/2023-12/highlights-brief_iucn-who_nbshealth-report.pdf</w:t>
      </w:r>
    </w:p>
    <w:p w14:paraId="5C4AEB74" w14:textId="631DF430" w:rsidR="00ED5DE3" w:rsidRPr="00ED5DE3" w:rsidRDefault="00ED5DE3" w:rsidP="00ED5DE3">
      <w:pPr>
        <w:rPr>
          <w:rFonts w:ascii="Open Sans" w:hAnsi="Open Sans" w:cs="Open Sans"/>
          <w:lang w:val="en-US"/>
        </w:rPr>
      </w:pPr>
      <w:r w:rsidRPr="00ED5DE3">
        <w:rPr>
          <w:rFonts w:ascii="Open Sans" w:hAnsi="Open Sans" w:cs="Open Sans"/>
          <w:lang w:val="en-US"/>
        </w:rPr>
        <w:t>Natural Resources Institute Finland. 2024. Nature could provide Finland with economic benefits worth hundreds of millions in combating common diseases. Available at: https://www.luke.fi/fi/uutiset/luonto-voi-tarjota-suomelle-jopa-satojen-miljoonien-eurojen-hyodyn-kansantautien-torjunnassa</w:t>
      </w:r>
    </w:p>
    <w:p w14:paraId="001BBFF9" w14:textId="4137B9A0" w:rsidR="00ED5DE3" w:rsidRPr="00ED5DE3" w:rsidRDefault="00ED5DE3" w:rsidP="00ED5DE3">
      <w:pPr>
        <w:rPr>
          <w:rFonts w:ascii="Open Sans" w:hAnsi="Open Sans" w:cs="Open Sans"/>
          <w:lang w:val="en-US"/>
        </w:rPr>
      </w:pPr>
      <w:r w:rsidRPr="00ED5DE3">
        <w:rPr>
          <w:rFonts w:ascii="Open Sans" w:hAnsi="Open Sans" w:cs="Open Sans"/>
          <w:lang w:val="en-US"/>
        </w:rPr>
        <w:t>NbS Guide. 2024. Human health and well-being. Available at: https://nbsguide.org/Human-health-and-wellbeing</w:t>
      </w:r>
    </w:p>
    <w:sectPr w:rsidR="00ED5DE3" w:rsidRPr="00ED5DE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1193A"/>
    <w:multiLevelType w:val="hybridMultilevel"/>
    <w:tmpl w:val="0518D5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D913CF1"/>
    <w:multiLevelType w:val="hybridMultilevel"/>
    <w:tmpl w:val="4300D35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714422680">
    <w:abstractNumId w:val="0"/>
  </w:num>
  <w:num w:numId="2" w16cid:durableId="963660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ECF"/>
    <w:rsid w:val="000B6A08"/>
    <w:rsid w:val="00175ADF"/>
    <w:rsid w:val="001B6ECF"/>
    <w:rsid w:val="002610FC"/>
    <w:rsid w:val="00363757"/>
    <w:rsid w:val="00797913"/>
    <w:rsid w:val="008D4BBB"/>
    <w:rsid w:val="008D798F"/>
    <w:rsid w:val="009B1E59"/>
    <w:rsid w:val="00A054E0"/>
    <w:rsid w:val="00BB0AC9"/>
    <w:rsid w:val="00BE2EE3"/>
    <w:rsid w:val="00E8062F"/>
    <w:rsid w:val="00ED5DE3"/>
    <w:rsid w:val="00F57ED9"/>
    <w:rsid w:val="00F73EC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97397"/>
  <w15:chartTrackingRefBased/>
  <w15:docId w15:val="{5D63B610-FF0E-4C60-AD1F-623C212A8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E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6E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6E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6E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B6E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6E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E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E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E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E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6E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6E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6E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B6E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E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E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E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ECF"/>
    <w:rPr>
      <w:rFonts w:eastAsiaTheme="majorEastAsia" w:cstheme="majorBidi"/>
      <w:color w:val="272727" w:themeColor="text1" w:themeTint="D8"/>
    </w:rPr>
  </w:style>
  <w:style w:type="paragraph" w:styleId="Title">
    <w:name w:val="Title"/>
    <w:basedOn w:val="Normal"/>
    <w:next w:val="Normal"/>
    <w:link w:val="TitleChar"/>
    <w:uiPriority w:val="10"/>
    <w:qFormat/>
    <w:rsid w:val="001B6E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E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E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E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ECF"/>
    <w:pPr>
      <w:spacing w:before="160"/>
      <w:jc w:val="center"/>
    </w:pPr>
    <w:rPr>
      <w:i/>
      <w:iCs/>
      <w:color w:val="404040" w:themeColor="text1" w:themeTint="BF"/>
    </w:rPr>
  </w:style>
  <w:style w:type="character" w:customStyle="1" w:styleId="QuoteChar">
    <w:name w:val="Quote Char"/>
    <w:basedOn w:val="DefaultParagraphFont"/>
    <w:link w:val="Quote"/>
    <w:uiPriority w:val="29"/>
    <w:rsid w:val="001B6ECF"/>
    <w:rPr>
      <w:i/>
      <w:iCs/>
      <w:color w:val="404040" w:themeColor="text1" w:themeTint="BF"/>
    </w:rPr>
  </w:style>
  <w:style w:type="paragraph" w:styleId="ListParagraph">
    <w:name w:val="List Paragraph"/>
    <w:basedOn w:val="Normal"/>
    <w:uiPriority w:val="34"/>
    <w:qFormat/>
    <w:rsid w:val="001B6ECF"/>
    <w:pPr>
      <w:ind w:left="720"/>
      <w:contextualSpacing/>
    </w:pPr>
  </w:style>
  <w:style w:type="character" w:styleId="IntenseEmphasis">
    <w:name w:val="Intense Emphasis"/>
    <w:basedOn w:val="DefaultParagraphFont"/>
    <w:uiPriority w:val="21"/>
    <w:qFormat/>
    <w:rsid w:val="001B6ECF"/>
    <w:rPr>
      <w:i/>
      <w:iCs/>
      <w:color w:val="0F4761" w:themeColor="accent1" w:themeShade="BF"/>
    </w:rPr>
  </w:style>
  <w:style w:type="paragraph" w:styleId="IntenseQuote">
    <w:name w:val="Intense Quote"/>
    <w:basedOn w:val="Normal"/>
    <w:next w:val="Normal"/>
    <w:link w:val="IntenseQuoteChar"/>
    <w:uiPriority w:val="30"/>
    <w:qFormat/>
    <w:rsid w:val="001B6E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ECF"/>
    <w:rPr>
      <w:i/>
      <w:iCs/>
      <w:color w:val="0F4761" w:themeColor="accent1" w:themeShade="BF"/>
    </w:rPr>
  </w:style>
  <w:style w:type="character" w:styleId="IntenseReference">
    <w:name w:val="Intense Reference"/>
    <w:basedOn w:val="DefaultParagraphFont"/>
    <w:uiPriority w:val="32"/>
    <w:qFormat/>
    <w:rsid w:val="001B6E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60377">
      <w:bodyDiv w:val="1"/>
      <w:marLeft w:val="0"/>
      <w:marRight w:val="0"/>
      <w:marTop w:val="0"/>
      <w:marBottom w:val="0"/>
      <w:divBdr>
        <w:top w:val="none" w:sz="0" w:space="0" w:color="auto"/>
        <w:left w:val="none" w:sz="0" w:space="0" w:color="auto"/>
        <w:bottom w:val="none" w:sz="0" w:space="0" w:color="auto"/>
        <w:right w:val="none" w:sz="0" w:space="0" w:color="auto"/>
      </w:divBdr>
    </w:div>
    <w:div w:id="276109874">
      <w:bodyDiv w:val="1"/>
      <w:marLeft w:val="0"/>
      <w:marRight w:val="0"/>
      <w:marTop w:val="0"/>
      <w:marBottom w:val="0"/>
      <w:divBdr>
        <w:top w:val="none" w:sz="0" w:space="0" w:color="auto"/>
        <w:left w:val="none" w:sz="0" w:space="0" w:color="auto"/>
        <w:bottom w:val="none" w:sz="0" w:space="0" w:color="auto"/>
        <w:right w:val="none" w:sz="0" w:space="0" w:color="auto"/>
      </w:divBdr>
    </w:div>
    <w:div w:id="1906450921">
      <w:bodyDiv w:val="1"/>
      <w:marLeft w:val="0"/>
      <w:marRight w:val="0"/>
      <w:marTop w:val="0"/>
      <w:marBottom w:val="0"/>
      <w:divBdr>
        <w:top w:val="none" w:sz="0" w:space="0" w:color="auto"/>
        <w:left w:val="none" w:sz="0" w:space="0" w:color="auto"/>
        <w:bottom w:val="none" w:sz="0" w:space="0" w:color="auto"/>
        <w:right w:val="none" w:sz="0" w:space="0" w:color="auto"/>
      </w:divBdr>
    </w:div>
    <w:div w:id="200790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1843</Words>
  <Characters>14937</Characters>
  <Application>Microsoft Office Word</Application>
  <DocSecurity>0</DocSecurity>
  <Lines>124</Lines>
  <Paragraphs>33</Paragraphs>
  <ScaleCrop>false</ScaleCrop>
  <Company/>
  <LinksUpToDate>false</LinksUpToDate>
  <CharactersWithSpaces>16747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Oskari Ylikoski</dc:creator>
  <cp:keywords/>
  <dc:description/>
  <cp:lastModifiedBy>Oskari Ylikoski</cp:lastModifiedBy>
  <cp:revision>10</cp:revision>
  <dcterms:created xsi:type="dcterms:W3CDTF">2025-03-24T08:53:00Z</dcterms:created>
  <dcterms:modified xsi:type="dcterms:W3CDTF">2025-03-24T09:00:00Z</dcterms:modified>
</cp:coreProperties>
</file>