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F20C" w14:textId="4DA1DA51" w:rsidR="00CA1AD8" w:rsidRPr="00157D70" w:rsidRDefault="003B6031">
      <w:pPr>
        <w:rPr>
          <w:rFonts w:cstheme="minorHAnsi"/>
          <w:b/>
          <w:bCs/>
          <w:sz w:val="32"/>
          <w:szCs w:val="32"/>
        </w:rPr>
      </w:pPr>
      <w:r w:rsidRPr="00157D70">
        <w:rPr>
          <w:rFonts w:cstheme="minorHAnsi"/>
          <w:b/>
          <w:bCs/>
          <w:sz w:val="32"/>
          <w:szCs w:val="32"/>
        </w:rPr>
        <w:t>Tutkimus- ja kehittämisosaaminen</w:t>
      </w:r>
      <w:r w:rsidRPr="00157D70">
        <w:rPr>
          <w:rFonts w:cstheme="minorHAnsi"/>
          <w:b/>
          <w:bCs/>
          <w:sz w:val="32"/>
          <w:szCs w:val="32"/>
        </w:rPr>
        <w:t xml:space="preserve"> 4: </w:t>
      </w:r>
      <w:r w:rsidRPr="00157D70">
        <w:rPr>
          <w:rFonts w:cstheme="minorHAnsi"/>
          <w:b/>
          <w:bCs/>
          <w:sz w:val="32"/>
          <w:szCs w:val="32"/>
        </w:rPr>
        <w:t>Oikeudet, sopimukset &amp; lisensointi</w:t>
      </w:r>
    </w:p>
    <w:p w14:paraId="6EC93B55" w14:textId="77777777" w:rsidR="00CA1AD8" w:rsidRPr="003B6031" w:rsidRDefault="00CA1AD8">
      <w:pPr>
        <w:rPr>
          <w:rFonts w:cstheme="minorHAnsi"/>
        </w:rPr>
      </w:pPr>
    </w:p>
    <w:p w14:paraId="1428B505" w14:textId="5995A670" w:rsidR="00A00324" w:rsidRPr="003B6031" w:rsidRDefault="00CA1AD8">
      <w:pPr>
        <w:rPr>
          <w:rFonts w:cstheme="minorHAnsi"/>
        </w:rPr>
      </w:pPr>
      <w:r w:rsidRPr="003B6031">
        <w:rPr>
          <w:rFonts w:cstheme="minorHAnsi"/>
        </w:rPr>
        <w:t xml:space="preserve">Opintojakso on osa </w:t>
      </w:r>
      <w:r w:rsidRPr="003B6031">
        <w:rPr>
          <w:rStyle w:val="Emphasis"/>
          <w:rFonts w:cstheme="minorHAnsi"/>
        </w:rPr>
        <w:t xml:space="preserve">Tutkimus- ja kehittämisosaaminen </w:t>
      </w:r>
      <w:r w:rsidRPr="003B6031">
        <w:rPr>
          <w:rFonts w:cstheme="minorHAnsi"/>
        </w:rPr>
        <w:t>-kokonaisuutta, joka on tuotettu yhteistyössä opetus- ja kulttuuriministeriön rahoittamassa </w:t>
      </w:r>
      <w:r w:rsidRPr="003B6031">
        <w:rPr>
          <w:rStyle w:val="Emphasis"/>
          <w:rFonts w:cstheme="minorHAnsi"/>
        </w:rPr>
        <w:t>Ammattikorkeakoulujen avoin TKI-toiminta, oppiminen &amp; innovaatioekosysteemi</w:t>
      </w:r>
      <w:r w:rsidRPr="003B6031">
        <w:rPr>
          <w:rFonts w:cstheme="minorHAnsi"/>
        </w:rPr>
        <w:t xml:space="preserve"> -hankkeessa.</w:t>
      </w:r>
      <w:r w:rsidRPr="003B6031">
        <w:rPr>
          <w:rFonts w:cstheme="minorHAnsi"/>
        </w:rPr>
        <w:t xml:space="preserve"> Opintojakson tehtävät on jätetty pois AOE:n kautta avatussa materiaalista.</w:t>
      </w:r>
    </w:p>
    <w:p w14:paraId="10B4372D" w14:textId="16000BC4" w:rsidR="00CA1AD8" w:rsidRPr="00CA1AD8" w:rsidRDefault="00CA1AD8" w:rsidP="00CA1AD8">
      <w:pPr>
        <w:spacing w:before="100" w:beforeAutospacing="1" w:after="100" w:afterAutospacing="1" w:line="240" w:lineRule="auto"/>
        <w:rPr>
          <w:rFonts w:eastAsia="Times New Roman" w:cstheme="minorHAnsi"/>
          <w:lang w:eastAsia="fi-FI"/>
        </w:rPr>
      </w:pPr>
      <w:r w:rsidRPr="00CA1AD8">
        <w:rPr>
          <w:rFonts w:eastAsia="Times New Roman" w:cstheme="minorHAnsi"/>
          <w:lang w:eastAsia="fi-FI"/>
        </w:rPr>
        <w:t>Oikeudet, sopimukset &amp; lisensointi -opintojakso jakautuu itsessään kahteen osioon</w:t>
      </w:r>
      <w:r w:rsidRPr="003B6031">
        <w:rPr>
          <w:rFonts w:eastAsia="Times New Roman" w:cstheme="minorHAnsi"/>
          <w:lang w:eastAsia="fi-FI"/>
        </w:rPr>
        <w:t>.</w:t>
      </w:r>
    </w:p>
    <w:p w14:paraId="6CB5852C" w14:textId="77777777" w:rsidR="00CA1AD8" w:rsidRPr="00CA1AD8" w:rsidRDefault="00CA1AD8" w:rsidP="00CA1AD8">
      <w:pPr>
        <w:numPr>
          <w:ilvl w:val="0"/>
          <w:numId w:val="1"/>
        </w:numPr>
        <w:spacing w:before="100" w:beforeAutospacing="1" w:after="100" w:afterAutospacing="1" w:line="240" w:lineRule="auto"/>
        <w:rPr>
          <w:rFonts w:eastAsia="Times New Roman" w:cstheme="minorHAnsi"/>
          <w:lang w:eastAsia="fi-FI"/>
        </w:rPr>
      </w:pPr>
      <w:r w:rsidRPr="00CA1AD8">
        <w:rPr>
          <w:rFonts w:eastAsia="Times New Roman" w:cstheme="minorHAnsi"/>
          <w:lang w:eastAsia="fi-FI"/>
        </w:rPr>
        <w:t>Oikeudet ja sopimukset</w:t>
      </w:r>
    </w:p>
    <w:p w14:paraId="0AC2E24C" w14:textId="77777777" w:rsidR="00CA1AD8" w:rsidRPr="00CA1AD8" w:rsidRDefault="00CA1AD8" w:rsidP="00CA1AD8">
      <w:pPr>
        <w:numPr>
          <w:ilvl w:val="0"/>
          <w:numId w:val="1"/>
        </w:numPr>
        <w:spacing w:before="100" w:beforeAutospacing="1" w:after="100" w:afterAutospacing="1" w:line="240" w:lineRule="auto"/>
        <w:rPr>
          <w:rFonts w:eastAsia="Times New Roman" w:cstheme="minorHAnsi"/>
          <w:lang w:eastAsia="fi-FI"/>
        </w:rPr>
      </w:pPr>
      <w:r w:rsidRPr="00CA1AD8">
        <w:rPr>
          <w:rFonts w:eastAsia="Times New Roman" w:cstheme="minorHAnsi"/>
          <w:lang w:eastAsia="fi-FI"/>
        </w:rPr>
        <w:t>Lisenssit</w:t>
      </w:r>
    </w:p>
    <w:p w14:paraId="71703414" w14:textId="77777777" w:rsidR="00CA1AD8" w:rsidRPr="00CA1AD8" w:rsidRDefault="00CA1AD8" w:rsidP="00CA1AD8">
      <w:pPr>
        <w:spacing w:before="100" w:beforeAutospacing="1" w:after="100" w:afterAutospacing="1" w:line="240" w:lineRule="auto"/>
        <w:rPr>
          <w:rFonts w:eastAsia="Times New Roman" w:cstheme="minorHAnsi"/>
          <w:lang w:eastAsia="fi-FI"/>
        </w:rPr>
      </w:pPr>
      <w:r w:rsidRPr="00CA1AD8">
        <w:rPr>
          <w:rFonts w:eastAsia="Times New Roman" w:cstheme="minorHAnsi"/>
          <w:lang w:eastAsia="fi-FI"/>
        </w:rPr>
        <w:t>Opintojakso koostuu sisältöalueista, jotka perehdyttävät sinut avoimen tutkimus- ja kehittämistyön mahdollisuuksiin mm. tekijänoikeuslain, tietosuoja-asetuksen (GDPR), sopimusten sekä lisensoinnin avulla jaettavien käyttöoikeuksien näkökulmista. Opintojakson suoritettuasi sinulla on hyvä peruskäsitys tutkimus- ja kehittämistyön oikeudellisista ja sopimuksellisista ulottuvuuksista erityisesti avoimuuden lainsäädännöllisten reunaehtojen näkökulmista. Tämän lisäksi sinulla on ymmärrys lisensoinnin perusteista ja erilaisista lisenssityypeistä. Tavoitteena on, että osaat tutkimus- ja kehittämistyötä tehdessäsi kiinnittää ennakoivasti huomiota seikkoihin, jotka ovat avainasemassa toiminnan tulosten laillisen hyödyntämisen ja avoimen tieteen periaatteiden kannalta.</w:t>
      </w:r>
    </w:p>
    <w:p w14:paraId="501FB77F" w14:textId="1AFCBE77" w:rsidR="00CA1AD8" w:rsidRDefault="00CA1AD8">
      <w:pPr>
        <w:rPr>
          <w:rFonts w:cstheme="minorHAnsi"/>
        </w:rPr>
      </w:pPr>
    </w:p>
    <w:p w14:paraId="6D2398F8" w14:textId="09B055B6" w:rsidR="00E92413" w:rsidRDefault="00E92413">
      <w:pPr>
        <w:rPr>
          <w:rFonts w:cstheme="minorHAnsi"/>
        </w:rPr>
      </w:pPr>
    </w:p>
    <w:p w14:paraId="4CD4E515" w14:textId="1E6538CA" w:rsidR="00E92413" w:rsidRDefault="00E92413">
      <w:pPr>
        <w:rPr>
          <w:rFonts w:cstheme="minorHAnsi"/>
        </w:rPr>
      </w:pPr>
    </w:p>
    <w:p w14:paraId="2C404EE9" w14:textId="3A201CF5" w:rsidR="00E92413" w:rsidRDefault="00E92413">
      <w:pPr>
        <w:rPr>
          <w:rFonts w:cstheme="minorHAnsi"/>
        </w:rPr>
      </w:pPr>
    </w:p>
    <w:p w14:paraId="7D03B473" w14:textId="122E8AA1" w:rsidR="00E92413" w:rsidRDefault="00E92413">
      <w:pPr>
        <w:rPr>
          <w:rFonts w:cstheme="minorHAnsi"/>
        </w:rPr>
      </w:pPr>
    </w:p>
    <w:p w14:paraId="1E88F6DE" w14:textId="077354DB" w:rsidR="00E92413" w:rsidRDefault="00E92413">
      <w:pPr>
        <w:rPr>
          <w:rFonts w:cstheme="minorHAnsi"/>
        </w:rPr>
      </w:pPr>
    </w:p>
    <w:p w14:paraId="6E8AFD7E" w14:textId="652BC3DB" w:rsidR="00E92413" w:rsidRDefault="00E92413">
      <w:pPr>
        <w:rPr>
          <w:rFonts w:cstheme="minorHAnsi"/>
        </w:rPr>
      </w:pPr>
    </w:p>
    <w:p w14:paraId="5B0596C7" w14:textId="0076318E" w:rsidR="00E92413" w:rsidRDefault="00E92413">
      <w:pPr>
        <w:rPr>
          <w:rFonts w:cstheme="minorHAnsi"/>
        </w:rPr>
      </w:pPr>
    </w:p>
    <w:p w14:paraId="5157BF38" w14:textId="2E4FAEBF" w:rsidR="00E92413" w:rsidRDefault="00E92413">
      <w:pPr>
        <w:rPr>
          <w:rFonts w:cstheme="minorHAnsi"/>
        </w:rPr>
      </w:pPr>
    </w:p>
    <w:p w14:paraId="41EFADCD" w14:textId="22EB7834" w:rsidR="00E92413" w:rsidRDefault="00E92413">
      <w:pPr>
        <w:rPr>
          <w:rFonts w:cstheme="minorHAnsi"/>
        </w:rPr>
      </w:pPr>
    </w:p>
    <w:p w14:paraId="3E6F177E" w14:textId="46E503E1" w:rsidR="00E92413" w:rsidRDefault="00E92413">
      <w:pPr>
        <w:rPr>
          <w:rFonts w:cstheme="minorHAnsi"/>
        </w:rPr>
      </w:pPr>
    </w:p>
    <w:p w14:paraId="5AD2B70A" w14:textId="60C4CE7A" w:rsidR="00E92413" w:rsidRDefault="00E92413">
      <w:pPr>
        <w:rPr>
          <w:rFonts w:cstheme="minorHAnsi"/>
        </w:rPr>
      </w:pPr>
    </w:p>
    <w:p w14:paraId="793201F9" w14:textId="0E829DA1" w:rsidR="00E92413" w:rsidRDefault="00E92413">
      <w:pPr>
        <w:rPr>
          <w:rFonts w:cstheme="minorHAnsi"/>
        </w:rPr>
      </w:pPr>
    </w:p>
    <w:p w14:paraId="43E5D9D1" w14:textId="63E206D5" w:rsidR="00E92413" w:rsidRDefault="00E92413">
      <w:pPr>
        <w:rPr>
          <w:rFonts w:cstheme="minorHAnsi"/>
        </w:rPr>
      </w:pPr>
    </w:p>
    <w:p w14:paraId="712D0666" w14:textId="675B5BE8" w:rsidR="00E92413" w:rsidRDefault="00E92413">
      <w:pPr>
        <w:rPr>
          <w:rFonts w:cstheme="minorHAnsi"/>
        </w:rPr>
      </w:pPr>
    </w:p>
    <w:p w14:paraId="36E1C001" w14:textId="0D8FAF59" w:rsidR="00E92413" w:rsidRDefault="00E92413">
      <w:pPr>
        <w:rPr>
          <w:rFonts w:cstheme="minorHAnsi"/>
        </w:rPr>
      </w:pPr>
    </w:p>
    <w:p w14:paraId="5C4699A9" w14:textId="77777777" w:rsidR="00E92413" w:rsidRPr="003B6031" w:rsidRDefault="00E92413">
      <w:pPr>
        <w:rPr>
          <w:rFonts w:cstheme="minorHAnsi"/>
        </w:rPr>
      </w:pPr>
    </w:p>
    <w:p w14:paraId="3F2F875A" w14:textId="4A8D2E6E" w:rsidR="003B6031" w:rsidRPr="00157D70" w:rsidRDefault="003B6031" w:rsidP="003B6031">
      <w:pPr>
        <w:pStyle w:val="ListParagraph"/>
        <w:numPr>
          <w:ilvl w:val="0"/>
          <w:numId w:val="2"/>
        </w:numPr>
        <w:rPr>
          <w:rFonts w:cstheme="minorHAnsi"/>
          <w:b/>
          <w:bCs/>
          <w:sz w:val="30"/>
          <w:szCs w:val="30"/>
        </w:rPr>
      </w:pPr>
      <w:r w:rsidRPr="00157D70">
        <w:rPr>
          <w:rFonts w:cstheme="minorHAnsi"/>
          <w:b/>
          <w:bCs/>
          <w:sz w:val="30"/>
          <w:szCs w:val="30"/>
        </w:rPr>
        <w:lastRenderedPageBreak/>
        <w:t>Oikeudet ja sopimukset</w:t>
      </w:r>
    </w:p>
    <w:p w14:paraId="7AEE00DC" w14:textId="77777777" w:rsidR="003B6031" w:rsidRPr="003B6031" w:rsidRDefault="003B6031" w:rsidP="003B6031">
      <w:pPr>
        <w:spacing w:before="100" w:beforeAutospacing="1" w:after="100" w:afterAutospacing="1" w:line="240" w:lineRule="auto"/>
        <w:ind w:left="120"/>
        <w:rPr>
          <w:rFonts w:eastAsia="Times New Roman" w:cstheme="minorHAnsi"/>
          <w:lang w:eastAsia="fi-FI"/>
        </w:rPr>
      </w:pPr>
      <w:r w:rsidRPr="003B6031">
        <w:rPr>
          <w:rFonts w:eastAsia="Times New Roman" w:cstheme="minorHAnsi"/>
          <w:lang w:eastAsia="fi-FI"/>
        </w:rPr>
        <w:t>Tämä osion tarkoituksena on perehdyttää avoimen tieteen oikeudelliseen viitekehykseen eli keinoihin, joiden avulla avoimuutta pyritään eri tahojen toimesta toteuttamaan. Avoimen tieteen ohjaamisen tasoja voidaan kuvata tapahtuvan kolmella tasolla: 1) kansainväliset ja kansalliset verkostot, 2) yksittäinen tieteenala ja 3) yksittäinen tutkimusorganisaatio ja tutkija. Kullakin tasolla käytetään erilaisia ohjauskeinoja ja instrumentteja.</w:t>
      </w:r>
    </w:p>
    <w:p w14:paraId="17A3EB3D" w14:textId="77777777" w:rsidR="003B6031" w:rsidRPr="003B6031" w:rsidRDefault="003B6031" w:rsidP="003B6031">
      <w:pPr>
        <w:spacing w:before="100" w:beforeAutospacing="1" w:after="100" w:afterAutospacing="1" w:line="240" w:lineRule="auto"/>
        <w:ind w:left="120"/>
        <w:rPr>
          <w:rFonts w:eastAsia="Times New Roman" w:cstheme="minorHAnsi"/>
          <w:lang w:eastAsia="fi-FI"/>
        </w:rPr>
      </w:pPr>
      <w:r w:rsidRPr="003B6031">
        <w:rPr>
          <w:rFonts w:eastAsia="Times New Roman" w:cstheme="minorHAnsi"/>
          <w:lang w:eastAsia="fi-FI"/>
        </w:rPr>
        <w:t>Lisäksi osiossa tarkastellaan sopimusoikeudellisia kysymyksiä ja sitä, miten sopimusten avulla avoimuutta hallitaan ja toteutetaan.</w:t>
      </w:r>
    </w:p>
    <w:p w14:paraId="06844B9F" w14:textId="77777777" w:rsidR="003B6031" w:rsidRPr="003B6031" w:rsidRDefault="003B6031" w:rsidP="003B6031">
      <w:pPr>
        <w:numPr>
          <w:ilvl w:val="0"/>
          <w:numId w:val="3"/>
        </w:numPr>
        <w:spacing w:before="100" w:beforeAutospacing="1" w:after="100" w:afterAutospacing="1" w:line="240" w:lineRule="auto"/>
        <w:ind w:left="840"/>
        <w:rPr>
          <w:rFonts w:eastAsia="Times New Roman" w:cstheme="minorHAnsi"/>
          <w:lang w:eastAsia="fi-FI"/>
        </w:rPr>
      </w:pPr>
      <w:r w:rsidRPr="003B6031">
        <w:rPr>
          <w:rFonts w:eastAsia="Times New Roman" w:cstheme="minorHAnsi"/>
          <w:lang w:eastAsia="fi-FI"/>
        </w:rPr>
        <w:t>avoimuuden rajoittaminen --&gt; salassa pidettävistä asioista sopiminen --&gt; aiesopimukset, salassapitosopimukset</w:t>
      </w:r>
    </w:p>
    <w:p w14:paraId="1C55B8AE" w14:textId="77777777" w:rsidR="003B6031" w:rsidRPr="003B6031" w:rsidRDefault="003B6031" w:rsidP="003B6031">
      <w:pPr>
        <w:numPr>
          <w:ilvl w:val="0"/>
          <w:numId w:val="3"/>
        </w:numPr>
        <w:spacing w:before="100" w:beforeAutospacing="1" w:after="100" w:afterAutospacing="1" w:line="240" w:lineRule="auto"/>
        <w:ind w:left="840"/>
        <w:rPr>
          <w:rFonts w:eastAsia="Times New Roman" w:cstheme="minorHAnsi"/>
          <w:lang w:eastAsia="fi-FI"/>
        </w:rPr>
      </w:pPr>
      <w:r w:rsidRPr="003B6031">
        <w:rPr>
          <w:rFonts w:eastAsia="Times New Roman" w:cstheme="minorHAnsi"/>
          <w:lang w:eastAsia="fi-FI"/>
        </w:rPr>
        <w:t>avoimuuden mahdollistaminen → yhteistyötä edistävät sopimustyypit --&gt; kumppanuussopimukset, projektiyhteistyösopimukset.</w:t>
      </w:r>
    </w:p>
    <w:p w14:paraId="1F9A9B3E" w14:textId="77777777" w:rsidR="003B6031" w:rsidRPr="003B6031" w:rsidRDefault="003B6031" w:rsidP="003B6031">
      <w:pPr>
        <w:spacing w:before="100" w:beforeAutospacing="1" w:after="100" w:afterAutospacing="1" w:line="240" w:lineRule="auto"/>
        <w:ind w:left="120"/>
        <w:rPr>
          <w:rFonts w:eastAsia="Times New Roman" w:cstheme="minorHAnsi"/>
          <w:lang w:eastAsia="fi-FI"/>
        </w:rPr>
      </w:pPr>
      <w:r w:rsidRPr="003B6031">
        <w:rPr>
          <w:rFonts w:eastAsia="Times New Roman" w:cstheme="minorHAnsi"/>
          <w:b/>
          <w:bCs/>
          <w:lang w:eastAsia="fi-FI"/>
        </w:rPr>
        <w:t>Oppimistavoitteet</w:t>
      </w:r>
    </w:p>
    <w:p w14:paraId="09425D90" w14:textId="77777777" w:rsidR="003B6031" w:rsidRPr="003B6031" w:rsidRDefault="003B6031" w:rsidP="003B6031">
      <w:pPr>
        <w:spacing w:before="100" w:beforeAutospacing="1" w:after="100" w:afterAutospacing="1" w:line="240" w:lineRule="auto"/>
        <w:ind w:left="120"/>
        <w:rPr>
          <w:rFonts w:eastAsia="Times New Roman" w:cstheme="minorHAnsi"/>
          <w:lang w:eastAsia="fi-FI"/>
        </w:rPr>
      </w:pPr>
      <w:r w:rsidRPr="003B6031">
        <w:rPr>
          <w:rFonts w:eastAsia="Times New Roman" w:cstheme="minorHAnsi"/>
          <w:lang w:eastAsia="fi-FI"/>
        </w:rPr>
        <w:t>Tämän osion suoritettuasi sinulla on</w:t>
      </w:r>
    </w:p>
    <w:p w14:paraId="520C0E17" w14:textId="77777777" w:rsidR="003B6031" w:rsidRPr="003B6031" w:rsidRDefault="003B6031" w:rsidP="003B6031">
      <w:pPr>
        <w:numPr>
          <w:ilvl w:val="0"/>
          <w:numId w:val="4"/>
        </w:numPr>
        <w:spacing w:before="100" w:beforeAutospacing="1" w:after="100" w:afterAutospacing="1" w:line="240" w:lineRule="auto"/>
        <w:ind w:left="840"/>
        <w:rPr>
          <w:rFonts w:eastAsia="Times New Roman" w:cstheme="minorHAnsi"/>
          <w:lang w:eastAsia="fi-FI"/>
        </w:rPr>
      </w:pPr>
      <w:r w:rsidRPr="003B6031">
        <w:rPr>
          <w:rFonts w:eastAsia="Times New Roman" w:cstheme="minorHAnsi"/>
          <w:lang w:eastAsia="fi-FI"/>
        </w:rPr>
        <w:t>ymmärrys avoimuuteen ohjaamisen oikeudellisesta viitekehyksestä (lainsäädäntö vs. pehmeät ohjauskeinot; kuka ohjaa tai velvoittaa)</w:t>
      </w:r>
    </w:p>
    <w:p w14:paraId="33856BB6" w14:textId="77777777" w:rsidR="003B6031" w:rsidRPr="003B6031" w:rsidRDefault="003B6031" w:rsidP="003B6031">
      <w:pPr>
        <w:numPr>
          <w:ilvl w:val="1"/>
          <w:numId w:val="4"/>
        </w:numPr>
        <w:spacing w:before="100" w:beforeAutospacing="1" w:after="100" w:afterAutospacing="1" w:line="240" w:lineRule="auto"/>
        <w:ind w:left="1680"/>
        <w:rPr>
          <w:rFonts w:eastAsia="Times New Roman" w:cstheme="minorHAnsi"/>
          <w:lang w:eastAsia="fi-FI"/>
        </w:rPr>
      </w:pPr>
      <w:r w:rsidRPr="003B6031">
        <w:rPr>
          <w:rFonts w:eastAsia="Times New Roman" w:cstheme="minorHAnsi"/>
          <w:lang w:eastAsia="fi-FI"/>
        </w:rPr>
        <w:t>miten lainsäädäntö saattaa joissain tilanteissa rajoittaa avoimen tieteen tavoitteiden toteutumista; millä tavoin tekijä voi määrätä teoksestaan ja luovuttaa siihen oikeuksia ja siten säädellä teoksen avoimuuden rajoja sääntelyn mahdollistamin keinoin</w:t>
      </w:r>
    </w:p>
    <w:p w14:paraId="2081F96A" w14:textId="77777777" w:rsidR="003B6031" w:rsidRPr="003B6031" w:rsidRDefault="003B6031" w:rsidP="003B6031">
      <w:pPr>
        <w:numPr>
          <w:ilvl w:val="1"/>
          <w:numId w:val="4"/>
        </w:numPr>
        <w:spacing w:before="100" w:beforeAutospacing="1" w:after="100" w:afterAutospacing="1" w:line="240" w:lineRule="auto"/>
        <w:ind w:left="1680"/>
        <w:rPr>
          <w:rFonts w:eastAsia="Times New Roman" w:cstheme="minorHAnsi"/>
          <w:lang w:eastAsia="fi-FI"/>
        </w:rPr>
      </w:pPr>
      <w:r w:rsidRPr="003B6031">
        <w:rPr>
          <w:rFonts w:eastAsia="Times New Roman" w:cstheme="minorHAnsi"/>
          <w:lang w:eastAsia="fi-FI"/>
        </w:rPr>
        <w:t>millä tavalla tekijänoikeuslaki toimii avoimuuden esteenä tutkijan ja tiedeyhteisön näkökulmasta (tekijänoikeuslaki ja rinnakkaisjulkaisemisen ongelmat; tekijänoikeuslaki ja tiedon louhinta)</w:t>
      </w:r>
    </w:p>
    <w:p w14:paraId="354A183F" w14:textId="77777777" w:rsidR="003B6031" w:rsidRPr="003B6031" w:rsidRDefault="003B6031" w:rsidP="003B6031">
      <w:pPr>
        <w:numPr>
          <w:ilvl w:val="1"/>
          <w:numId w:val="4"/>
        </w:numPr>
        <w:spacing w:before="100" w:beforeAutospacing="1" w:after="100" w:afterAutospacing="1" w:line="240" w:lineRule="auto"/>
        <w:ind w:left="1680"/>
        <w:rPr>
          <w:rFonts w:eastAsia="Times New Roman" w:cstheme="minorHAnsi"/>
          <w:lang w:eastAsia="fi-FI"/>
        </w:rPr>
      </w:pPr>
      <w:r w:rsidRPr="003B6031">
        <w:rPr>
          <w:rFonts w:eastAsia="Times New Roman" w:cstheme="minorHAnsi"/>
          <w:lang w:eastAsia="fi-FI"/>
        </w:rPr>
        <w:t>miten henkilötietolaki ja toisiolaki pitäisi ottaa huomioon erilaisten data-aineistojen käsittelyssä</w:t>
      </w:r>
    </w:p>
    <w:p w14:paraId="76910053" w14:textId="77777777" w:rsidR="003B6031" w:rsidRPr="003B6031" w:rsidRDefault="003B6031" w:rsidP="003B6031">
      <w:pPr>
        <w:numPr>
          <w:ilvl w:val="0"/>
          <w:numId w:val="4"/>
        </w:numPr>
        <w:spacing w:before="100" w:beforeAutospacing="1" w:after="100" w:afterAutospacing="1" w:line="240" w:lineRule="auto"/>
        <w:ind w:left="840"/>
        <w:rPr>
          <w:rFonts w:eastAsia="Times New Roman" w:cstheme="minorHAnsi"/>
          <w:lang w:eastAsia="fi-FI"/>
        </w:rPr>
      </w:pPr>
      <w:r w:rsidRPr="003B6031">
        <w:rPr>
          <w:rFonts w:eastAsia="Times New Roman" w:cstheme="minorHAnsi"/>
          <w:lang w:eastAsia="fi-FI"/>
        </w:rPr>
        <w:t>ymmärrys erilaisten sopimusten merkityksestä avoimuuden edistämiseksi tai rajoittamiseksi tutkimuksen elinkaaren eri vaiheissa.</w:t>
      </w:r>
    </w:p>
    <w:p w14:paraId="33C66F62" w14:textId="77777777" w:rsidR="003B6031" w:rsidRPr="003B6031" w:rsidRDefault="003B6031" w:rsidP="003B6031">
      <w:pPr>
        <w:spacing w:before="100" w:beforeAutospacing="1" w:after="100" w:afterAutospacing="1" w:line="240" w:lineRule="auto"/>
        <w:ind w:left="120"/>
        <w:rPr>
          <w:rFonts w:eastAsia="Times New Roman" w:cstheme="minorHAnsi"/>
          <w:lang w:eastAsia="fi-FI"/>
        </w:rPr>
      </w:pPr>
      <w:r w:rsidRPr="003B6031">
        <w:rPr>
          <w:rFonts w:eastAsia="Times New Roman" w:cstheme="minorHAnsi"/>
          <w:b/>
          <w:bCs/>
          <w:lang w:eastAsia="fi-FI"/>
        </w:rPr>
        <w:t>Osion rajaus</w:t>
      </w:r>
    </w:p>
    <w:p w14:paraId="0E3E406E" w14:textId="31804AFC" w:rsidR="00157D70" w:rsidRDefault="003B6031" w:rsidP="00265C37">
      <w:pPr>
        <w:spacing w:before="100" w:beforeAutospacing="1" w:after="100" w:afterAutospacing="1" w:line="240" w:lineRule="auto"/>
        <w:ind w:left="120"/>
        <w:rPr>
          <w:rFonts w:eastAsia="Times New Roman" w:cstheme="minorHAnsi"/>
          <w:lang w:eastAsia="fi-FI"/>
        </w:rPr>
      </w:pPr>
      <w:r w:rsidRPr="003B6031">
        <w:rPr>
          <w:rFonts w:eastAsia="Times New Roman" w:cstheme="minorHAnsi"/>
          <w:lang w:eastAsia="fi-FI"/>
        </w:rPr>
        <w:t>Tekijänoikeuslakia ja henkilötietolainsäädäntöä tarkastellaan vain tarpeellisilta osin avoimen tieteen tavoitteiden toteuttamisen näkökulmasta ja opintojakson laajuus huomioiden.</w:t>
      </w:r>
    </w:p>
    <w:p w14:paraId="21C97D37" w14:textId="77777777" w:rsidR="00E02DB3" w:rsidRDefault="00E02DB3" w:rsidP="00265C37">
      <w:pPr>
        <w:spacing w:before="100" w:beforeAutospacing="1" w:after="100" w:afterAutospacing="1" w:line="240" w:lineRule="auto"/>
        <w:ind w:left="120"/>
        <w:rPr>
          <w:rFonts w:eastAsia="Times New Roman" w:cstheme="minorHAnsi"/>
          <w:lang w:eastAsia="fi-FI"/>
        </w:rPr>
      </w:pPr>
    </w:p>
    <w:p w14:paraId="2FB4D7A2" w14:textId="33976020" w:rsidR="00157D70" w:rsidRPr="003B6031" w:rsidRDefault="00157D70" w:rsidP="003B6031">
      <w:pPr>
        <w:spacing w:before="100" w:beforeAutospacing="1" w:after="100" w:afterAutospacing="1" w:line="240" w:lineRule="auto"/>
        <w:ind w:left="120"/>
        <w:rPr>
          <w:rFonts w:eastAsia="Times New Roman" w:cstheme="minorHAnsi"/>
          <w:b/>
          <w:bCs/>
          <w:sz w:val="28"/>
          <w:szCs w:val="28"/>
          <w:lang w:eastAsia="fi-FI"/>
        </w:rPr>
      </w:pPr>
      <w:r w:rsidRPr="00E02DB3">
        <w:rPr>
          <w:rFonts w:eastAsia="Times New Roman" w:cstheme="minorHAnsi"/>
          <w:b/>
          <w:bCs/>
          <w:sz w:val="28"/>
          <w:szCs w:val="28"/>
          <w:lang w:eastAsia="fi-FI"/>
        </w:rPr>
        <w:t>Opiskeltavat sisällöt</w:t>
      </w:r>
    </w:p>
    <w:p w14:paraId="253B08F4" w14:textId="6B5F6CA6" w:rsidR="003B6031" w:rsidRPr="00652739" w:rsidRDefault="00652739" w:rsidP="00652739">
      <w:pPr>
        <w:ind w:left="142"/>
        <w:rPr>
          <w:rFonts w:cstheme="minorHAnsi"/>
          <w:u w:val="single"/>
        </w:rPr>
      </w:pPr>
      <w:r w:rsidRPr="00652739">
        <w:rPr>
          <w:rFonts w:cstheme="minorHAnsi"/>
          <w:u w:val="single"/>
        </w:rPr>
        <w:t>1)</w:t>
      </w:r>
      <w:r>
        <w:rPr>
          <w:rFonts w:cstheme="minorHAnsi"/>
          <w:u w:val="single"/>
        </w:rPr>
        <w:t xml:space="preserve"> </w:t>
      </w:r>
      <w:r w:rsidR="00157D70" w:rsidRPr="00652739">
        <w:rPr>
          <w:rFonts w:cstheme="minorHAnsi"/>
          <w:u w:val="single"/>
        </w:rPr>
        <w:t>Avoimen tieteen toimintaympäristö</w:t>
      </w:r>
    </w:p>
    <w:p w14:paraId="7AB955D1" w14:textId="3ACAFF53" w:rsidR="00157D70" w:rsidRPr="00E92413" w:rsidRDefault="00157D70" w:rsidP="00E92413">
      <w:pPr>
        <w:ind w:left="142"/>
        <w:rPr>
          <w:rFonts w:cstheme="minorHAnsi"/>
        </w:rPr>
      </w:pPr>
      <w:r w:rsidRPr="00E92413">
        <w:rPr>
          <w:rFonts w:cstheme="minorHAnsi"/>
        </w:rPr>
        <w:t>Tässä alaosiossa perehdyt lyhyesti siihen, minkälaisilla ohjausinstrumenteilla avoimen tieteen toimintaympäristöä luodaan tiedeyhteisössä.</w:t>
      </w:r>
    </w:p>
    <w:p w14:paraId="461C82DD" w14:textId="77777777" w:rsidR="00157D70" w:rsidRPr="00157D70" w:rsidRDefault="00157D70" w:rsidP="00157D70">
      <w:pPr>
        <w:pStyle w:val="ListParagraph"/>
        <w:numPr>
          <w:ilvl w:val="0"/>
          <w:numId w:val="6"/>
        </w:numPr>
        <w:shd w:val="clear" w:color="auto" w:fill="FFFFFF"/>
        <w:spacing w:after="120" w:line="240" w:lineRule="auto"/>
        <w:rPr>
          <w:rFonts w:eastAsia="Times New Roman" w:cstheme="minorHAnsi"/>
          <w:color w:val="333333"/>
          <w:lang w:eastAsia="fi-FI"/>
        </w:rPr>
      </w:pPr>
      <w:r w:rsidRPr="00157D70">
        <w:rPr>
          <w:rFonts w:eastAsia="Times New Roman" w:cstheme="minorHAnsi"/>
          <w:color w:val="333333"/>
          <w:lang w:eastAsia="fi-FI"/>
        </w:rPr>
        <w:t>Avoimen tieteen koordinaatio, Tieteellisten seurain valtuuskunta, Avoimen tieteen ja tutkimuksen julistus 2020–2025. </w:t>
      </w:r>
      <w:hyperlink r:id="rId5" w:tgtFrame="_blank" w:history="1">
        <w:r w:rsidRPr="00157D70">
          <w:rPr>
            <w:rFonts w:eastAsia="Times New Roman" w:cstheme="minorHAnsi"/>
            <w:color w:val="0055B0"/>
            <w:u w:val="single"/>
            <w:lang w:eastAsia="fi-FI"/>
          </w:rPr>
          <w:t>https://doi.org/10.23847/isbn.9789525995237</w:t>
        </w:r>
      </w:hyperlink>
    </w:p>
    <w:p w14:paraId="648EE02F" w14:textId="06E410BC" w:rsidR="00157D70" w:rsidRPr="00157D70" w:rsidRDefault="00157D70" w:rsidP="00157D70">
      <w:pPr>
        <w:pStyle w:val="ListParagraph"/>
        <w:numPr>
          <w:ilvl w:val="0"/>
          <w:numId w:val="6"/>
        </w:numPr>
        <w:shd w:val="clear" w:color="auto" w:fill="FFFFFF"/>
        <w:spacing w:after="120" w:line="240" w:lineRule="auto"/>
        <w:rPr>
          <w:rFonts w:eastAsia="Times New Roman" w:cstheme="minorHAnsi"/>
          <w:color w:val="333333"/>
          <w:lang w:eastAsia="fi-FI"/>
        </w:rPr>
      </w:pPr>
      <w:r w:rsidRPr="00157D70">
        <w:rPr>
          <w:rFonts w:eastAsia="Times New Roman" w:cstheme="minorHAnsi"/>
          <w:color w:val="333333"/>
          <w:lang w:eastAsia="fi-FI"/>
        </w:rPr>
        <w:lastRenderedPageBreak/>
        <w:t>Niinimäki, Sami, ”Avoimen tiedon saatavuus on välttämättömyys menestyksekkäälle tutkimukselle” – komission suositukset ohjaavat eurooppalaista tiedepolitiikkaa, 24.10.2019. </w:t>
      </w:r>
      <w:hyperlink r:id="rId6" w:tgtFrame="_blank" w:history="1">
        <w:r w:rsidRPr="00157D70">
          <w:rPr>
            <w:rFonts w:eastAsia="Times New Roman" w:cstheme="minorHAnsi"/>
            <w:color w:val="0055B0"/>
            <w:u w:val="single"/>
            <w:lang w:eastAsia="fi-FI"/>
          </w:rPr>
          <w:t>https://blogs.helsinki.fi/thinkopen/komission-avoimen-tieteen-suositukset/</w:t>
        </w:r>
      </w:hyperlink>
    </w:p>
    <w:p w14:paraId="18B1D3F8" w14:textId="77777777" w:rsidR="00157D70" w:rsidRPr="00157D70" w:rsidRDefault="00157D70" w:rsidP="00157D70">
      <w:pPr>
        <w:ind w:left="142"/>
        <w:rPr>
          <w:rFonts w:cstheme="minorHAnsi"/>
        </w:rPr>
      </w:pPr>
    </w:p>
    <w:p w14:paraId="7A660063" w14:textId="6207A47C" w:rsidR="00157D70" w:rsidRPr="00157D70" w:rsidRDefault="00652739" w:rsidP="00157D70">
      <w:pPr>
        <w:ind w:left="142"/>
        <w:rPr>
          <w:rFonts w:cstheme="minorHAnsi"/>
          <w:u w:val="single"/>
        </w:rPr>
      </w:pPr>
      <w:r>
        <w:rPr>
          <w:rFonts w:cstheme="minorHAnsi"/>
          <w:u w:val="single"/>
        </w:rPr>
        <w:t xml:space="preserve">2) </w:t>
      </w:r>
      <w:r w:rsidR="00157D70" w:rsidRPr="00157D70">
        <w:rPr>
          <w:rFonts w:cstheme="minorHAnsi"/>
          <w:u w:val="single"/>
        </w:rPr>
        <w:t>Tekijänoikeuslainsäädäntö ja avoin tiede</w:t>
      </w:r>
    </w:p>
    <w:p w14:paraId="6504AEE0" w14:textId="628F2C9A" w:rsidR="00157D70" w:rsidRPr="00157D70" w:rsidRDefault="00157D70" w:rsidP="00157D70">
      <w:pPr>
        <w:ind w:left="142"/>
        <w:rPr>
          <w:rFonts w:cstheme="minorHAnsi"/>
        </w:rPr>
      </w:pPr>
      <w:r w:rsidRPr="00157D70">
        <w:rPr>
          <w:rFonts w:cstheme="minorHAnsi"/>
        </w:rPr>
        <w:t>Tässä tarkastellaan tekijänoikeuslain ja avoimen tieteen suhdetta.</w:t>
      </w:r>
    </w:p>
    <w:p w14:paraId="7AB281BA" w14:textId="77777777" w:rsidR="00157D70" w:rsidRPr="00157D70" w:rsidRDefault="00157D70" w:rsidP="00157D70">
      <w:pPr>
        <w:pStyle w:val="ListParagraph"/>
        <w:numPr>
          <w:ilvl w:val="0"/>
          <w:numId w:val="5"/>
        </w:numPr>
        <w:shd w:val="clear" w:color="auto" w:fill="FFFFFF"/>
        <w:spacing w:after="120" w:line="240" w:lineRule="auto"/>
        <w:rPr>
          <w:rFonts w:eastAsia="Times New Roman" w:cstheme="minorHAnsi"/>
          <w:color w:val="333333"/>
          <w:lang w:eastAsia="fi-FI"/>
        </w:rPr>
      </w:pPr>
      <w:r w:rsidRPr="00157D70">
        <w:rPr>
          <w:rFonts w:eastAsia="Times New Roman" w:cstheme="minorHAnsi"/>
          <w:color w:val="333333"/>
          <w:lang w:eastAsia="fi-FI"/>
        </w:rPr>
        <w:t>Happonen, Konsta, Tekijänoikeusdirektiivin monet seuraukset tiedonlouhinnalle, 9.12.2019. </w:t>
      </w:r>
      <w:hyperlink r:id="rId7" w:anchor="more-3193" w:tgtFrame="_blank" w:history="1">
        <w:r w:rsidRPr="00157D70">
          <w:rPr>
            <w:rFonts w:eastAsia="Times New Roman" w:cstheme="minorHAnsi"/>
            <w:color w:val="0055B0"/>
            <w:u w:val="single"/>
            <w:lang w:eastAsia="fi-FI"/>
          </w:rPr>
          <w:t>https://blogs.helsinki.fi/thinkopen/tekijanoikeusdirektiivin-monet-seuraukset-tiedonlouhinnalle/#more-3193</w:t>
        </w:r>
      </w:hyperlink>
    </w:p>
    <w:p w14:paraId="2D27C803" w14:textId="77777777" w:rsidR="00157D70" w:rsidRPr="00157D70" w:rsidRDefault="00157D70" w:rsidP="00157D70">
      <w:pPr>
        <w:pStyle w:val="ListParagraph"/>
        <w:numPr>
          <w:ilvl w:val="0"/>
          <w:numId w:val="5"/>
        </w:numPr>
        <w:shd w:val="clear" w:color="auto" w:fill="FFFFFF"/>
        <w:spacing w:after="120" w:line="240" w:lineRule="auto"/>
        <w:rPr>
          <w:rFonts w:eastAsia="Times New Roman" w:cstheme="minorHAnsi"/>
          <w:color w:val="333333"/>
          <w:lang w:eastAsia="fi-FI"/>
        </w:rPr>
      </w:pPr>
      <w:r w:rsidRPr="00157D70">
        <w:rPr>
          <w:rFonts w:eastAsia="Times New Roman" w:cstheme="minorHAnsi"/>
          <w:color w:val="333333"/>
          <w:lang w:eastAsia="fi-FI"/>
        </w:rPr>
        <w:t>Oesch, Rainer, 2018, Tekijänoikeudellinen käsitys eroaa tieteen etiikan tekijyys-käsityksestä. </w:t>
      </w:r>
      <w:hyperlink r:id="rId8" w:tgtFrame="_blank" w:history="1">
        <w:r w:rsidRPr="00157D70">
          <w:rPr>
            <w:rFonts w:eastAsia="Times New Roman" w:cstheme="minorHAnsi"/>
            <w:color w:val="0055B0"/>
            <w:u w:val="single"/>
            <w:lang w:eastAsia="fi-FI"/>
          </w:rPr>
          <w:t>https://vastuullinentiede.fi/fi/julkaiseminen/tekijanoikeudellinen-kasitys-eroaa-tieteen-etiikan-tekijyys-kasityksesta</w:t>
        </w:r>
      </w:hyperlink>
    </w:p>
    <w:p w14:paraId="6A30F646" w14:textId="77777777" w:rsidR="00157D70" w:rsidRPr="00157D70" w:rsidRDefault="00157D70" w:rsidP="00157D70">
      <w:pPr>
        <w:pStyle w:val="ListParagraph"/>
        <w:numPr>
          <w:ilvl w:val="0"/>
          <w:numId w:val="5"/>
        </w:numPr>
        <w:shd w:val="clear" w:color="auto" w:fill="FFFFFF"/>
        <w:spacing w:after="120" w:line="240" w:lineRule="auto"/>
        <w:rPr>
          <w:rFonts w:eastAsia="Times New Roman" w:cstheme="minorHAnsi"/>
          <w:color w:val="333333"/>
          <w:lang w:eastAsia="fi-FI"/>
        </w:rPr>
      </w:pPr>
      <w:r w:rsidRPr="00157D70">
        <w:rPr>
          <w:rFonts w:eastAsia="Times New Roman" w:cstheme="minorHAnsi"/>
          <w:color w:val="333333"/>
          <w:lang w:eastAsia="fi-FI"/>
        </w:rPr>
        <w:t>Tieteen termipankki 27.2.2021: Avoin tiede: tiedonlouhinta. </w:t>
      </w:r>
      <w:hyperlink r:id="rId9" w:tgtFrame="_blank" w:history="1">
        <w:r w:rsidRPr="00157D70">
          <w:rPr>
            <w:rFonts w:eastAsia="Times New Roman" w:cstheme="minorHAnsi"/>
            <w:color w:val="0055B0"/>
            <w:u w:val="single"/>
            <w:lang w:eastAsia="fi-FI"/>
          </w:rPr>
          <w:t>https://tieteentermipankki.fi/wiki/Avoin_tiede:tiedonlouhinta</w:t>
        </w:r>
      </w:hyperlink>
    </w:p>
    <w:p w14:paraId="29AEF77F" w14:textId="4BEBB1CD" w:rsidR="00157D70" w:rsidRPr="00157D70" w:rsidRDefault="00157D70" w:rsidP="00157D70">
      <w:pPr>
        <w:ind w:left="142"/>
        <w:rPr>
          <w:rFonts w:cstheme="minorHAnsi"/>
        </w:rPr>
      </w:pPr>
    </w:p>
    <w:p w14:paraId="53776A49" w14:textId="6D32AE83" w:rsidR="00157D70" w:rsidRPr="00157D70" w:rsidRDefault="00652739" w:rsidP="00157D70">
      <w:pPr>
        <w:ind w:left="142"/>
        <w:rPr>
          <w:rFonts w:cstheme="minorHAnsi"/>
          <w:u w:val="single"/>
        </w:rPr>
      </w:pPr>
      <w:r>
        <w:rPr>
          <w:rFonts w:cstheme="minorHAnsi"/>
          <w:u w:val="single"/>
        </w:rPr>
        <w:t xml:space="preserve">3) </w:t>
      </w:r>
      <w:r w:rsidR="00157D70" w:rsidRPr="00157D70">
        <w:rPr>
          <w:rFonts w:cstheme="minorHAnsi"/>
          <w:u w:val="single"/>
        </w:rPr>
        <w:t>Henkilötietolaki ja avoin tiede</w:t>
      </w:r>
    </w:p>
    <w:p w14:paraId="2A41046B" w14:textId="18A68285" w:rsidR="00157D70" w:rsidRPr="00157D70" w:rsidRDefault="00157D70" w:rsidP="00157D70">
      <w:pPr>
        <w:ind w:left="142"/>
        <w:rPr>
          <w:rFonts w:cstheme="minorHAnsi"/>
        </w:rPr>
      </w:pPr>
      <w:r w:rsidRPr="00157D70">
        <w:rPr>
          <w:rFonts w:cstheme="minorHAnsi"/>
        </w:rPr>
        <w:t>Alaosiossa perehdytään henkilötietolain asettamiin reunaehtoihin tutkimuksen avoimuuden näkökulmasta.</w:t>
      </w:r>
    </w:p>
    <w:p w14:paraId="46E9F292" w14:textId="06A7969D" w:rsidR="00157D70" w:rsidRPr="00157D70" w:rsidRDefault="00157D70" w:rsidP="00157D70">
      <w:pPr>
        <w:pStyle w:val="ListParagraph"/>
        <w:numPr>
          <w:ilvl w:val="0"/>
          <w:numId w:val="7"/>
        </w:numPr>
        <w:rPr>
          <w:rFonts w:cstheme="minorHAnsi"/>
        </w:rPr>
      </w:pPr>
      <w:r w:rsidRPr="00157D70">
        <w:rPr>
          <w:rFonts w:cstheme="minorHAnsi"/>
          <w:color w:val="333333"/>
          <w:shd w:val="clear" w:color="auto" w:fill="FFFFFF"/>
        </w:rPr>
        <w:t>Tietosuojavaltuutetun ohjaus avoimen tieteen periaatteiden toteuttamisesta henkilötietoja sisältävän tutkimusaineiston osalta. </w:t>
      </w:r>
      <w:hyperlink r:id="rId10" w:tgtFrame="_blank" w:history="1">
        <w:r w:rsidRPr="00157D70">
          <w:rPr>
            <w:rStyle w:val="Hyperlink"/>
            <w:rFonts w:cstheme="minorHAnsi"/>
            <w:color w:val="0055B0"/>
            <w:shd w:val="clear" w:color="auto" w:fill="FFFFFF"/>
          </w:rPr>
          <w:t>https://www.finlex.fi/fi/viranomaiset/tsv/2017/20170104</w:t>
        </w:r>
      </w:hyperlink>
    </w:p>
    <w:p w14:paraId="6649B104" w14:textId="77777777" w:rsidR="00157D70" w:rsidRPr="00157D70" w:rsidRDefault="00157D70" w:rsidP="00157D70">
      <w:pPr>
        <w:ind w:left="142"/>
        <w:rPr>
          <w:rFonts w:cstheme="minorHAnsi"/>
        </w:rPr>
      </w:pPr>
    </w:p>
    <w:p w14:paraId="1EF75CC9" w14:textId="52E5155B" w:rsidR="00157D70" w:rsidRPr="00157D70" w:rsidRDefault="00652739" w:rsidP="00157D70">
      <w:pPr>
        <w:ind w:left="142"/>
        <w:rPr>
          <w:rFonts w:cstheme="minorHAnsi"/>
          <w:u w:val="single"/>
        </w:rPr>
      </w:pPr>
      <w:r>
        <w:rPr>
          <w:rFonts w:cstheme="minorHAnsi"/>
          <w:u w:val="single"/>
        </w:rPr>
        <w:t xml:space="preserve">4) </w:t>
      </w:r>
      <w:r w:rsidR="00157D70" w:rsidRPr="00157D70">
        <w:rPr>
          <w:rFonts w:cstheme="minorHAnsi"/>
          <w:u w:val="single"/>
        </w:rPr>
        <w:t>Laki sosiaali- ja terveystietojen toissijaisesta käytöstä</w:t>
      </w:r>
    </w:p>
    <w:p w14:paraId="5F6C17AF" w14:textId="6386738C" w:rsidR="00157D70" w:rsidRPr="00157D70" w:rsidRDefault="00157D70" w:rsidP="00157D70">
      <w:pPr>
        <w:ind w:left="142"/>
        <w:rPr>
          <w:rFonts w:cstheme="minorHAnsi"/>
        </w:rPr>
      </w:pPr>
      <w:r w:rsidRPr="00157D70">
        <w:rPr>
          <w:rFonts w:cstheme="minorHAnsi"/>
        </w:rPr>
        <w:t>Tässä osiossa tutustutaan sosiaali- ja terveystietojen toissijaiseen käyttöön.</w:t>
      </w:r>
    </w:p>
    <w:p w14:paraId="380BB70C" w14:textId="65055E17" w:rsidR="00157D70" w:rsidRPr="00157D70" w:rsidRDefault="00157D70" w:rsidP="00157D70">
      <w:pPr>
        <w:pStyle w:val="ListParagraph"/>
        <w:numPr>
          <w:ilvl w:val="0"/>
          <w:numId w:val="7"/>
        </w:numPr>
        <w:rPr>
          <w:rFonts w:cstheme="minorHAnsi"/>
        </w:rPr>
      </w:pPr>
      <w:r w:rsidRPr="00157D70">
        <w:rPr>
          <w:rFonts w:cstheme="minorHAnsi"/>
          <w:color w:val="333333"/>
          <w:shd w:val="clear" w:color="auto" w:fill="FFFFFF"/>
        </w:rPr>
        <w:t>Laitinen, Tarja 2019, Sosiaali- ja terveystiedon toissijainen käyttö: mikä muuttuu uuden lain myötä? </w:t>
      </w:r>
      <w:hyperlink r:id="rId11" w:tgtFrame="_blank" w:history="1">
        <w:r w:rsidRPr="00157D70">
          <w:rPr>
            <w:rStyle w:val="Hyperlink"/>
            <w:rFonts w:cstheme="minorHAnsi"/>
            <w:color w:val="0055B0"/>
            <w:shd w:val="clear" w:color="auto" w:fill="FFFFFF"/>
          </w:rPr>
          <w:t>https://vastuullinentiede.fi/fi/jatkokaytto/sosiaali-ja-terveystiedon-toissijainen-kaytto-mika-muuttuu-uuden-lain-myota</w:t>
        </w:r>
      </w:hyperlink>
    </w:p>
    <w:p w14:paraId="19F7769E" w14:textId="77777777" w:rsidR="00157D70" w:rsidRPr="00157D70" w:rsidRDefault="00157D70" w:rsidP="00157D70">
      <w:pPr>
        <w:ind w:left="142"/>
        <w:rPr>
          <w:rFonts w:cstheme="minorHAnsi"/>
        </w:rPr>
      </w:pPr>
    </w:p>
    <w:p w14:paraId="72EDFB77" w14:textId="655A0870" w:rsidR="00157D70" w:rsidRPr="001737B3" w:rsidRDefault="00652739" w:rsidP="00157D70">
      <w:pPr>
        <w:ind w:left="142"/>
        <w:rPr>
          <w:rFonts w:cstheme="minorHAnsi"/>
          <w:u w:val="single"/>
        </w:rPr>
      </w:pPr>
      <w:r>
        <w:rPr>
          <w:rFonts w:cstheme="minorHAnsi"/>
          <w:u w:val="single"/>
        </w:rPr>
        <w:t xml:space="preserve">5) </w:t>
      </w:r>
      <w:r w:rsidR="00157D70" w:rsidRPr="001737B3">
        <w:rPr>
          <w:rFonts w:cstheme="minorHAnsi"/>
          <w:u w:val="single"/>
        </w:rPr>
        <w:t>Sopimukset avoimen tieteen edistäjinä</w:t>
      </w:r>
    </w:p>
    <w:p w14:paraId="4CBF9C40" w14:textId="75BA01F5" w:rsidR="00157D70" w:rsidRPr="001737B3" w:rsidRDefault="00157D70" w:rsidP="00157D70">
      <w:pPr>
        <w:ind w:left="142"/>
        <w:rPr>
          <w:rFonts w:cstheme="minorHAnsi"/>
        </w:rPr>
      </w:pPr>
      <w:r w:rsidRPr="001737B3">
        <w:rPr>
          <w:rFonts w:cstheme="minorHAnsi"/>
        </w:rPr>
        <w:t>Tässä alaosiossa perehdyt keskeisimpiin sopimuksiin, joita tarvitaan avoimuuden edistämiseksi tutkimushankkeissa.</w:t>
      </w:r>
    </w:p>
    <w:p w14:paraId="2B1A3D77" w14:textId="67DD0D9E" w:rsidR="00157D70" w:rsidRPr="00E92413" w:rsidRDefault="00157D70" w:rsidP="005F59A1">
      <w:pPr>
        <w:pStyle w:val="ListParagraph"/>
        <w:numPr>
          <w:ilvl w:val="0"/>
          <w:numId w:val="7"/>
        </w:numPr>
        <w:shd w:val="clear" w:color="auto" w:fill="FFFFFF"/>
        <w:spacing w:after="120" w:line="240" w:lineRule="auto"/>
        <w:rPr>
          <w:rFonts w:eastAsia="Times New Roman" w:cstheme="minorHAnsi"/>
          <w:color w:val="333333"/>
          <w:lang w:eastAsia="fi-FI"/>
        </w:rPr>
      </w:pPr>
      <w:r w:rsidRPr="00E92413">
        <w:rPr>
          <w:rFonts w:eastAsia="Times New Roman" w:cstheme="minorHAnsi"/>
          <w:color w:val="333333"/>
          <w:lang w:eastAsia="fi-FI"/>
        </w:rPr>
        <w:t>Lampola, Markku &amp; Aho, Tuomas, Tutkimusyhteistyön kehittyvät käytännöt. Sitran raportteja 73, Helsinki 2007.</w:t>
      </w:r>
      <w:r w:rsidR="00E92413">
        <w:rPr>
          <w:rFonts w:eastAsia="Times New Roman" w:cstheme="minorHAnsi"/>
          <w:color w:val="333333"/>
          <w:lang w:eastAsia="fi-FI"/>
        </w:rPr>
        <w:t xml:space="preserve"> </w:t>
      </w:r>
      <w:r w:rsidRPr="00E92413">
        <w:rPr>
          <w:rFonts w:eastAsia="Times New Roman" w:cstheme="minorHAnsi"/>
          <w:color w:val="333333"/>
          <w:lang w:eastAsia="fi-FI"/>
        </w:rPr>
        <w:t>Sivut 25–53. </w:t>
      </w:r>
      <w:hyperlink r:id="rId12" w:tgtFrame="_blank" w:history="1">
        <w:r w:rsidRPr="00E92413">
          <w:rPr>
            <w:rFonts w:eastAsia="Times New Roman" w:cstheme="minorHAnsi"/>
            <w:color w:val="0055B0"/>
            <w:u w:val="single"/>
            <w:lang w:eastAsia="fi-FI"/>
          </w:rPr>
          <w:t>https://media.sitra.fi/2017/02/27173700/raportti73-2.pdf</w:t>
        </w:r>
      </w:hyperlink>
    </w:p>
    <w:p w14:paraId="28B4BD19" w14:textId="77777777" w:rsidR="00157D70" w:rsidRPr="001737B3" w:rsidRDefault="00157D70" w:rsidP="00157D70">
      <w:pPr>
        <w:pStyle w:val="ListParagraph"/>
        <w:numPr>
          <w:ilvl w:val="0"/>
          <w:numId w:val="7"/>
        </w:numPr>
        <w:shd w:val="clear" w:color="auto" w:fill="FFFFFF"/>
        <w:spacing w:after="120" w:line="240" w:lineRule="auto"/>
        <w:rPr>
          <w:rFonts w:eastAsia="Times New Roman" w:cstheme="minorHAnsi"/>
          <w:color w:val="333333"/>
          <w:lang w:eastAsia="fi-FI"/>
        </w:rPr>
      </w:pPr>
      <w:r w:rsidRPr="001737B3">
        <w:rPr>
          <w:rFonts w:eastAsia="Times New Roman" w:cstheme="minorHAnsi"/>
          <w:color w:val="333333"/>
          <w:lang w:eastAsia="fi-FI"/>
        </w:rPr>
        <w:t>Lindfelt, Villy, 2016, Salassapitosopimus, Lakimiehen laatima opas salassapitosopimusten tekemiseen. </w:t>
      </w:r>
      <w:hyperlink r:id="rId13" w:tgtFrame="_blank" w:history="1">
        <w:r w:rsidRPr="001737B3">
          <w:rPr>
            <w:rFonts w:eastAsia="Times New Roman" w:cstheme="minorHAnsi"/>
            <w:color w:val="0055B0"/>
            <w:u w:val="single"/>
            <w:lang w:eastAsia="fi-FI"/>
          </w:rPr>
          <w:t>https://lakius.fi/salassapitosopimus-miten-tehda/</w:t>
        </w:r>
      </w:hyperlink>
    </w:p>
    <w:p w14:paraId="7FF487AD" w14:textId="6BAF4E96" w:rsidR="00157D70" w:rsidRPr="001737B3" w:rsidRDefault="00157D70" w:rsidP="003B6031">
      <w:pPr>
        <w:rPr>
          <w:rFonts w:cstheme="minorHAnsi"/>
        </w:rPr>
      </w:pPr>
    </w:p>
    <w:p w14:paraId="3F66BC64" w14:textId="1B81C84E" w:rsidR="00157D70" w:rsidRDefault="00157D70" w:rsidP="003B6031">
      <w:pPr>
        <w:rPr>
          <w:rFonts w:cstheme="minorHAnsi"/>
        </w:rPr>
      </w:pPr>
    </w:p>
    <w:p w14:paraId="207B571A" w14:textId="530B766E" w:rsidR="00E92413" w:rsidRDefault="00E92413" w:rsidP="003B6031">
      <w:pPr>
        <w:rPr>
          <w:rFonts w:cstheme="minorHAnsi"/>
        </w:rPr>
      </w:pPr>
    </w:p>
    <w:p w14:paraId="79CB45A1" w14:textId="77777777" w:rsidR="00E02DB3" w:rsidRPr="001737B3" w:rsidRDefault="00E02DB3" w:rsidP="003B6031">
      <w:pPr>
        <w:rPr>
          <w:rFonts w:cstheme="minorHAnsi"/>
        </w:rPr>
      </w:pPr>
    </w:p>
    <w:p w14:paraId="02692E1E" w14:textId="77777777" w:rsidR="001737B3" w:rsidRPr="00157D70" w:rsidRDefault="001737B3" w:rsidP="001737B3">
      <w:pPr>
        <w:pStyle w:val="ListParagraph"/>
        <w:numPr>
          <w:ilvl w:val="0"/>
          <w:numId w:val="2"/>
        </w:numPr>
        <w:rPr>
          <w:rFonts w:cstheme="minorHAnsi"/>
          <w:b/>
          <w:bCs/>
          <w:sz w:val="30"/>
          <w:szCs w:val="30"/>
        </w:rPr>
      </w:pPr>
      <w:r w:rsidRPr="00157D70">
        <w:rPr>
          <w:rFonts w:cstheme="minorHAnsi"/>
          <w:b/>
          <w:bCs/>
          <w:sz w:val="30"/>
          <w:szCs w:val="30"/>
        </w:rPr>
        <w:lastRenderedPageBreak/>
        <w:t>Oikeudet ja sopimukset</w:t>
      </w:r>
    </w:p>
    <w:p w14:paraId="172742CE" w14:textId="77777777" w:rsidR="001737B3" w:rsidRPr="001737B3" w:rsidRDefault="001737B3" w:rsidP="001737B3">
      <w:pPr>
        <w:spacing w:before="100" w:beforeAutospacing="1" w:after="100" w:afterAutospacing="1" w:line="240" w:lineRule="auto"/>
        <w:rPr>
          <w:rFonts w:eastAsia="Times New Roman" w:cstheme="minorHAnsi"/>
          <w:lang w:eastAsia="fi-FI"/>
        </w:rPr>
      </w:pPr>
      <w:r w:rsidRPr="001737B3">
        <w:rPr>
          <w:rFonts w:eastAsia="Times New Roman" w:cstheme="minorHAnsi"/>
          <w:lang w:eastAsia="fi-FI"/>
        </w:rPr>
        <w:t>Tämä osion tarkoituksena on perehdyttää avoimiin lisensseihin ja niiden hyötyihin. Avoimien lisenssien käyttöä voidaan perustella sekä materiaalin jakajan että sen käyttäjän näkökulmasta. Avoimesti lisensoidun materiaalin käyttö on helppoa, koska niiden hyödyntämisestä ei tarvitse sopia erikseen. Toisaalta lisensoijat säästyvät kyselyiltä ja saavat halutessaan nimensä esiin materiaalin tekijöinä. </w:t>
      </w:r>
    </w:p>
    <w:p w14:paraId="583A9A3F" w14:textId="77777777" w:rsidR="001737B3" w:rsidRPr="001737B3" w:rsidRDefault="001737B3" w:rsidP="001737B3">
      <w:pPr>
        <w:spacing w:before="100" w:beforeAutospacing="1" w:after="100" w:afterAutospacing="1" w:line="240" w:lineRule="auto"/>
        <w:rPr>
          <w:rFonts w:eastAsia="Times New Roman" w:cstheme="minorHAnsi"/>
          <w:lang w:eastAsia="fi-FI"/>
        </w:rPr>
      </w:pPr>
      <w:r w:rsidRPr="001737B3">
        <w:rPr>
          <w:rFonts w:eastAsia="Times New Roman" w:cstheme="minorHAnsi"/>
          <w:lang w:eastAsia="fi-FI"/>
        </w:rPr>
        <w:t>Avoimen lisensoinnin tuomat etuja ovat esimerkiksi:</w:t>
      </w:r>
    </w:p>
    <w:p w14:paraId="5B3C52AE" w14:textId="77777777" w:rsidR="001737B3" w:rsidRPr="001737B3" w:rsidRDefault="001737B3" w:rsidP="001737B3">
      <w:pPr>
        <w:numPr>
          <w:ilvl w:val="0"/>
          <w:numId w:val="8"/>
        </w:numPr>
        <w:spacing w:before="100" w:beforeAutospacing="1" w:after="100" w:afterAutospacing="1" w:line="240" w:lineRule="auto"/>
        <w:rPr>
          <w:rFonts w:eastAsia="Times New Roman" w:cstheme="minorHAnsi"/>
          <w:lang w:eastAsia="fi-FI"/>
        </w:rPr>
      </w:pPr>
      <w:r w:rsidRPr="001737B3">
        <w:rPr>
          <w:rFonts w:eastAsia="Times New Roman" w:cstheme="minorHAnsi"/>
          <w:lang w:eastAsia="fi-FI"/>
        </w:rPr>
        <w:t>aineistojen löydettävyys ja saavutettavuus kasvaa</w:t>
      </w:r>
    </w:p>
    <w:p w14:paraId="343CB75A" w14:textId="77777777" w:rsidR="001737B3" w:rsidRPr="001737B3" w:rsidRDefault="001737B3" w:rsidP="001737B3">
      <w:pPr>
        <w:numPr>
          <w:ilvl w:val="0"/>
          <w:numId w:val="8"/>
        </w:numPr>
        <w:spacing w:before="100" w:beforeAutospacing="1" w:after="100" w:afterAutospacing="1" w:line="240" w:lineRule="auto"/>
        <w:rPr>
          <w:rFonts w:eastAsia="Times New Roman" w:cstheme="minorHAnsi"/>
          <w:lang w:eastAsia="fi-FI"/>
        </w:rPr>
      </w:pPr>
      <w:r w:rsidRPr="001737B3">
        <w:rPr>
          <w:rFonts w:eastAsia="Times New Roman" w:cstheme="minorHAnsi"/>
          <w:lang w:eastAsia="fi-FI"/>
        </w:rPr>
        <w:t>aineistot kehittyvät orgaanisesti</w:t>
      </w:r>
    </w:p>
    <w:p w14:paraId="1852BEE1" w14:textId="77777777" w:rsidR="001737B3" w:rsidRPr="001737B3" w:rsidRDefault="001737B3" w:rsidP="001737B3">
      <w:pPr>
        <w:numPr>
          <w:ilvl w:val="0"/>
          <w:numId w:val="8"/>
        </w:numPr>
        <w:spacing w:before="100" w:beforeAutospacing="1" w:after="100" w:afterAutospacing="1" w:line="240" w:lineRule="auto"/>
        <w:rPr>
          <w:rFonts w:eastAsia="Times New Roman" w:cstheme="minorHAnsi"/>
          <w:lang w:eastAsia="fi-FI"/>
        </w:rPr>
      </w:pPr>
      <w:r w:rsidRPr="001737B3">
        <w:rPr>
          <w:rFonts w:eastAsia="Times New Roman" w:cstheme="minorHAnsi"/>
          <w:lang w:eastAsia="fi-FI"/>
        </w:rPr>
        <w:t>ei erillistä lupaprosessia</w:t>
      </w:r>
    </w:p>
    <w:p w14:paraId="397186A5" w14:textId="77777777" w:rsidR="001737B3" w:rsidRPr="001737B3" w:rsidRDefault="001737B3" w:rsidP="001737B3">
      <w:pPr>
        <w:numPr>
          <w:ilvl w:val="0"/>
          <w:numId w:val="8"/>
        </w:numPr>
        <w:spacing w:before="100" w:beforeAutospacing="1" w:after="100" w:afterAutospacing="1" w:line="240" w:lineRule="auto"/>
        <w:rPr>
          <w:rFonts w:eastAsia="Times New Roman" w:cstheme="minorHAnsi"/>
          <w:lang w:eastAsia="fi-FI"/>
        </w:rPr>
      </w:pPr>
      <w:r w:rsidRPr="001737B3">
        <w:rPr>
          <w:rFonts w:eastAsia="Times New Roman" w:cstheme="minorHAnsi"/>
          <w:lang w:eastAsia="fi-FI"/>
        </w:rPr>
        <w:t>materiaali löytää uusia yleisöä ja luo uusia kumppanuuksia</w:t>
      </w:r>
    </w:p>
    <w:p w14:paraId="534737AA" w14:textId="77777777" w:rsidR="001737B3" w:rsidRPr="001737B3" w:rsidRDefault="001737B3" w:rsidP="001737B3">
      <w:pPr>
        <w:numPr>
          <w:ilvl w:val="0"/>
          <w:numId w:val="8"/>
        </w:numPr>
        <w:spacing w:before="100" w:beforeAutospacing="1" w:after="100" w:afterAutospacing="1" w:line="240" w:lineRule="auto"/>
        <w:rPr>
          <w:rFonts w:eastAsia="Times New Roman" w:cstheme="minorHAnsi"/>
          <w:lang w:eastAsia="fi-FI"/>
        </w:rPr>
      </w:pPr>
      <w:r w:rsidRPr="001737B3">
        <w:rPr>
          <w:rFonts w:eastAsia="Times New Roman" w:cstheme="minorHAnsi"/>
          <w:lang w:eastAsia="fi-FI"/>
        </w:rPr>
        <w:t>materiaalin vaikuttavuuden arviointi helpottuu.</w:t>
      </w:r>
    </w:p>
    <w:p w14:paraId="6E2F58C9" w14:textId="77777777" w:rsidR="001737B3" w:rsidRPr="001737B3" w:rsidRDefault="001737B3" w:rsidP="001737B3">
      <w:pPr>
        <w:spacing w:before="100" w:beforeAutospacing="1" w:after="100" w:afterAutospacing="1" w:line="240" w:lineRule="auto"/>
        <w:rPr>
          <w:rFonts w:eastAsia="Times New Roman" w:cstheme="minorHAnsi"/>
          <w:lang w:eastAsia="fi-FI"/>
        </w:rPr>
      </w:pPr>
      <w:r w:rsidRPr="001737B3">
        <w:rPr>
          <w:rFonts w:eastAsia="Times New Roman" w:cstheme="minorHAnsi"/>
          <w:b/>
          <w:bCs/>
          <w:lang w:eastAsia="fi-FI"/>
        </w:rPr>
        <w:t>Oppimistavoitteet</w:t>
      </w:r>
    </w:p>
    <w:p w14:paraId="296E03AB" w14:textId="77777777" w:rsidR="001737B3" w:rsidRPr="001737B3" w:rsidRDefault="001737B3" w:rsidP="001737B3">
      <w:pPr>
        <w:spacing w:before="100" w:beforeAutospacing="1" w:after="100" w:afterAutospacing="1" w:line="240" w:lineRule="auto"/>
        <w:rPr>
          <w:rFonts w:eastAsia="Times New Roman" w:cstheme="minorHAnsi"/>
          <w:lang w:eastAsia="fi-FI"/>
        </w:rPr>
      </w:pPr>
      <w:r w:rsidRPr="001737B3">
        <w:rPr>
          <w:rFonts w:eastAsia="Times New Roman" w:cstheme="minorHAnsi"/>
          <w:lang w:eastAsia="fi-FI"/>
        </w:rPr>
        <w:t>Tämän osion suoritettuasi sinulla on</w:t>
      </w:r>
    </w:p>
    <w:p w14:paraId="7C8F7948" w14:textId="77777777" w:rsidR="001737B3" w:rsidRPr="001737B3" w:rsidRDefault="001737B3" w:rsidP="001737B3">
      <w:pPr>
        <w:numPr>
          <w:ilvl w:val="0"/>
          <w:numId w:val="9"/>
        </w:numPr>
        <w:spacing w:before="100" w:beforeAutospacing="1" w:after="100" w:afterAutospacing="1" w:line="240" w:lineRule="auto"/>
        <w:rPr>
          <w:rFonts w:eastAsia="Times New Roman" w:cstheme="minorHAnsi"/>
          <w:lang w:eastAsia="fi-FI"/>
        </w:rPr>
      </w:pPr>
      <w:r w:rsidRPr="001737B3">
        <w:rPr>
          <w:rFonts w:eastAsia="Times New Roman" w:cstheme="minorHAnsi"/>
          <w:lang w:eastAsia="fi-FI"/>
        </w:rPr>
        <w:t>ymmärrys avoimen lisensoinnin perusteista</w:t>
      </w:r>
    </w:p>
    <w:p w14:paraId="272CA7E8" w14:textId="77777777" w:rsidR="001737B3" w:rsidRPr="001737B3" w:rsidRDefault="001737B3" w:rsidP="001737B3">
      <w:pPr>
        <w:numPr>
          <w:ilvl w:val="1"/>
          <w:numId w:val="9"/>
        </w:numPr>
        <w:spacing w:before="100" w:beforeAutospacing="1" w:after="100" w:afterAutospacing="1" w:line="240" w:lineRule="auto"/>
        <w:rPr>
          <w:rFonts w:eastAsia="Times New Roman" w:cstheme="minorHAnsi"/>
          <w:lang w:eastAsia="fi-FI"/>
        </w:rPr>
      </w:pPr>
      <w:r w:rsidRPr="001737B3">
        <w:rPr>
          <w:rFonts w:eastAsia="Times New Roman" w:cstheme="minorHAnsi"/>
          <w:lang w:eastAsia="fi-FI"/>
        </w:rPr>
        <w:t>mitä hyötyä lisensoinnista on</w:t>
      </w:r>
    </w:p>
    <w:p w14:paraId="773246B8" w14:textId="77777777" w:rsidR="001737B3" w:rsidRPr="001737B3" w:rsidRDefault="001737B3" w:rsidP="001737B3">
      <w:pPr>
        <w:numPr>
          <w:ilvl w:val="1"/>
          <w:numId w:val="9"/>
        </w:numPr>
        <w:spacing w:before="100" w:beforeAutospacing="1" w:after="100" w:afterAutospacing="1" w:line="240" w:lineRule="auto"/>
        <w:rPr>
          <w:rFonts w:eastAsia="Times New Roman" w:cstheme="minorHAnsi"/>
          <w:lang w:eastAsia="fi-FI"/>
        </w:rPr>
      </w:pPr>
      <w:r w:rsidRPr="001737B3">
        <w:rPr>
          <w:rFonts w:eastAsia="Times New Roman" w:cstheme="minorHAnsi"/>
          <w:lang w:eastAsia="fi-FI"/>
        </w:rPr>
        <w:t>miten lisensoida ja hyödyntää lisensoituja sisältöjä</w:t>
      </w:r>
    </w:p>
    <w:p w14:paraId="5ED00012" w14:textId="77777777" w:rsidR="001737B3" w:rsidRPr="001737B3" w:rsidRDefault="001737B3" w:rsidP="001737B3">
      <w:pPr>
        <w:numPr>
          <w:ilvl w:val="1"/>
          <w:numId w:val="9"/>
        </w:numPr>
        <w:spacing w:before="100" w:beforeAutospacing="1" w:after="100" w:afterAutospacing="1" w:line="240" w:lineRule="auto"/>
        <w:rPr>
          <w:rFonts w:eastAsia="Times New Roman" w:cstheme="minorHAnsi"/>
          <w:lang w:eastAsia="fi-FI"/>
        </w:rPr>
      </w:pPr>
      <w:r w:rsidRPr="001737B3">
        <w:rPr>
          <w:rFonts w:eastAsia="Times New Roman" w:cstheme="minorHAnsi"/>
          <w:lang w:eastAsia="fi-FI"/>
        </w:rPr>
        <w:t>miksi lisensoida (data-aineistoja, julkaisuja, oppimateriaaleja tai muita sisältöjä)</w:t>
      </w:r>
    </w:p>
    <w:p w14:paraId="6C9F9CDC" w14:textId="77777777" w:rsidR="001737B3" w:rsidRPr="001737B3" w:rsidRDefault="001737B3" w:rsidP="001737B3">
      <w:pPr>
        <w:numPr>
          <w:ilvl w:val="0"/>
          <w:numId w:val="9"/>
        </w:numPr>
        <w:spacing w:before="100" w:beforeAutospacing="1" w:after="100" w:afterAutospacing="1" w:line="240" w:lineRule="auto"/>
        <w:rPr>
          <w:rFonts w:eastAsia="Times New Roman" w:cstheme="minorHAnsi"/>
          <w:lang w:eastAsia="fi-FI"/>
        </w:rPr>
      </w:pPr>
      <w:r w:rsidRPr="001737B3">
        <w:rPr>
          <w:rFonts w:eastAsia="Times New Roman" w:cstheme="minorHAnsi"/>
          <w:lang w:eastAsia="fi-FI"/>
        </w:rPr>
        <w:t>perustiedot erilaisista lisensseistä ja niiden ominaisuuksista (erityisesti Creative Commons eli CC-lisenssit).</w:t>
      </w:r>
    </w:p>
    <w:p w14:paraId="42519A75" w14:textId="77777777" w:rsidR="001737B3" w:rsidRPr="001737B3" w:rsidRDefault="001737B3" w:rsidP="001737B3">
      <w:pPr>
        <w:spacing w:before="100" w:beforeAutospacing="1" w:after="100" w:afterAutospacing="1" w:line="240" w:lineRule="auto"/>
        <w:rPr>
          <w:rFonts w:eastAsia="Times New Roman" w:cstheme="minorHAnsi"/>
          <w:lang w:eastAsia="fi-FI"/>
        </w:rPr>
      </w:pPr>
      <w:r w:rsidRPr="001737B3">
        <w:rPr>
          <w:rFonts w:eastAsia="Times New Roman" w:cstheme="minorHAnsi"/>
          <w:b/>
          <w:bCs/>
          <w:lang w:eastAsia="fi-FI"/>
        </w:rPr>
        <w:t>Osion rajaus</w:t>
      </w:r>
    </w:p>
    <w:p w14:paraId="4F9F6221" w14:textId="5ABD5FF3" w:rsidR="001737B3" w:rsidRPr="001737B3" w:rsidRDefault="001737B3" w:rsidP="001737B3">
      <w:pPr>
        <w:spacing w:before="100" w:beforeAutospacing="1" w:after="100" w:afterAutospacing="1" w:line="240" w:lineRule="auto"/>
        <w:rPr>
          <w:rFonts w:eastAsia="Times New Roman" w:cstheme="minorHAnsi"/>
          <w:lang w:eastAsia="fi-FI"/>
        </w:rPr>
      </w:pPr>
      <w:r w:rsidRPr="001737B3">
        <w:rPr>
          <w:rFonts w:eastAsia="Times New Roman" w:cstheme="minorHAnsi"/>
          <w:lang w:eastAsia="fi-FI"/>
        </w:rPr>
        <w:t>Tekijänoikeus antaa teoskynnyksen ylittävän teoksen tekijälle oikeuden päättää teoksensa julkisesta käytöstä. Teoksen lisensoinnilla tekijä tai muu tekijänoikeuden haltija myöntää käyttöluvan teoskynnyksen ylittävälle teokselle.</w:t>
      </w:r>
    </w:p>
    <w:p w14:paraId="30846DD9" w14:textId="77777777" w:rsidR="001737B3" w:rsidRPr="001737B3" w:rsidRDefault="001737B3" w:rsidP="001737B3">
      <w:pPr>
        <w:spacing w:before="100" w:beforeAutospacing="1" w:after="100" w:afterAutospacing="1" w:line="240" w:lineRule="auto"/>
        <w:rPr>
          <w:rFonts w:eastAsia="Times New Roman" w:cstheme="minorHAnsi"/>
          <w:lang w:eastAsia="fi-FI"/>
        </w:rPr>
      </w:pPr>
      <w:r w:rsidRPr="001737B3">
        <w:rPr>
          <w:rFonts w:eastAsia="Times New Roman" w:cstheme="minorHAnsi"/>
          <w:lang w:eastAsia="fi-FI"/>
        </w:rPr>
        <w:t>Lisensointi voi terminä viitata sekä kaupalliseen että ei-kaupalliseen toimintaan. Kaupallisessa toimintaympäristössä lisensoinnilla tavoitellaan liiketoiminnallista hyötyä tarjoamalla muille toimijoille mahdollisuus hyödyntää yrityksen luomaa immateriaaliomaisuutta, joka voi olla jo suojattu esim. patentein tai tavaramerkein. Tällöin puhutaan käyttöä tyypillisesti rajoittavasta </w:t>
      </w:r>
      <w:r w:rsidRPr="001737B3">
        <w:rPr>
          <w:rFonts w:eastAsia="Times New Roman" w:cstheme="minorHAnsi"/>
          <w:b/>
          <w:bCs/>
          <w:lang w:eastAsia="fi-FI"/>
        </w:rPr>
        <w:t>suljetusta lisenssistä</w:t>
      </w:r>
      <w:r w:rsidRPr="001737B3">
        <w:rPr>
          <w:rFonts w:eastAsia="Times New Roman" w:cstheme="minorHAnsi"/>
          <w:lang w:eastAsia="fi-FI"/>
        </w:rPr>
        <w:t>. Se voi olla esimerkiksi kirjaston maksama sopimukseen perustuva vuosilisenssi tietokannan tai e-aineiston käytöstä. Maksullinen vuosilisenssi rajaa käyttöoikeuksia tyypillisesti organisaation käyttäjiin, joilla on pääsy organisaation verkkoon. E-aineistojen sopimuslisenssi saattaa määritellä myös aineistojen käytön rajauksia liittyen tulostamiseen tai muuhun käyttöön.</w:t>
      </w:r>
    </w:p>
    <w:p w14:paraId="6376D9D9" w14:textId="77777777" w:rsidR="001737B3" w:rsidRPr="001737B3" w:rsidRDefault="001737B3" w:rsidP="001737B3">
      <w:pPr>
        <w:spacing w:before="100" w:beforeAutospacing="1" w:after="100" w:afterAutospacing="1" w:line="240" w:lineRule="auto"/>
        <w:rPr>
          <w:rFonts w:eastAsia="Times New Roman" w:cstheme="minorHAnsi"/>
          <w:lang w:eastAsia="fi-FI"/>
        </w:rPr>
      </w:pPr>
      <w:r w:rsidRPr="001737B3">
        <w:rPr>
          <w:rFonts w:eastAsia="Times New Roman" w:cstheme="minorHAnsi"/>
          <w:lang w:eastAsia="fi-FI"/>
        </w:rPr>
        <w:t xml:space="preserve">Toisaalta </w:t>
      </w:r>
      <w:r w:rsidRPr="001737B3">
        <w:rPr>
          <w:rFonts w:eastAsia="Times New Roman" w:cstheme="minorHAnsi"/>
          <w:b/>
          <w:bCs/>
          <w:lang w:eastAsia="fi-FI"/>
        </w:rPr>
        <w:t>avoin lisenssi</w:t>
      </w:r>
      <w:r w:rsidRPr="001737B3">
        <w:rPr>
          <w:rFonts w:eastAsia="Times New Roman" w:cstheme="minorHAnsi"/>
          <w:lang w:eastAsia="fi-FI"/>
        </w:rPr>
        <w:t xml:space="preserve"> on käyttölupa, joka on vakiomuotoinen ja osa lisenssijärjestelmää. Avoin lisenssi antaa usein tekijänoikeuksien rajoituksia laajempia käyttölupia aineiston muokkaukseen tai jakamiseen liittyen. Avoimia lisenssejä käytetään digitaalisesti jaettujen avoimien aineistojen käyttöehtojen määrittelemiseen. Tunnetuimpia ja laajimmin käytettyjä avoimia lisenssijärjestelmiä ovat mm. Creative Commons (CC) ja Open Data Commons.</w:t>
      </w:r>
    </w:p>
    <w:p w14:paraId="619046A0" w14:textId="063B325E" w:rsidR="001737B3" w:rsidRDefault="001737B3" w:rsidP="001737B3">
      <w:pPr>
        <w:spacing w:before="100" w:beforeAutospacing="1" w:after="100" w:afterAutospacing="1" w:line="240" w:lineRule="auto"/>
        <w:rPr>
          <w:rFonts w:eastAsia="Times New Roman" w:cstheme="minorHAnsi"/>
          <w:lang w:eastAsia="fi-FI"/>
        </w:rPr>
      </w:pPr>
      <w:r w:rsidRPr="001737B3">
        <w:rPr>
          <w:rFonts w:eastAsia="Times New Roman" w:cstheme="minorHAnsi"/>
          <w:lang w:eastAsia="fi-FI"/>
        </w:rPr>
        <w:t xml:space="preserve">Tässä opintojakson osiossa keskitytään nimenomaan tutkimus- ja kehittämisosaamisen avoimuuden ja vastuullisuuden kannalta olennaiseen aiheeseen eli sisältöjen jakamiseen </w:t>
      </w:r>
      <w:r w:rsidRPr="001737B3">
        <w:rPr>
          <w:rFonts w:eastAsia="Times New Roman" w:cstheme="minorHAnsi"/>
          <w:b/>
          <w:bCs/>
          <w:lang w:eastAsia="fi-FI"/>
        </w:rPr>
        <w:t>avoimen lisensoinnin</w:t>
      </w:r>
      <w:r w:rsidRPr="001737B3">
        <w:rPr>
          <w:rFonts w:eastAsia="Times New Roman" w:cstheme="minorHAnsi"/>
          <w:lang w:eastAsia="fi-FI"/>
        </w:rPr>
        <w:t xml:space="preserve"> keinoin.</w:t>
      </w:r>
    </w:p>
    <w:p w14:paraId="280803CF" w14:textId="77777777" w:rsidR="00E02DB3" w:rsidRDefault="00E02DB3" w:rsidP="001737B3">
      <w:pPr>
        <w:spacing w:before="100" w:beforeAutospacing="1" w:after="100" w:afterAutospacing="1" w:line="240" w:lineRule="auto"/>
        <w:rPr>
          <w:rFonts w:eastAsia="Times New Roman" w:cstheme="minorHAnsi"/>
          <w:lang w:eastAsia="fi-FI"/>
        </w:rPr>
      </w:pPr>
    </w:p>
    <w:p w14:paraId="12C88418" w14:textId="77777777" w:rsidR="00E02DB3" w:rsidRPr="003B6031" w:rsidRDefault="00E02DB3" w:rsidP="00E02DB3">
      <w:pPr>
        <w:spacing w:before="100" w:beforeAutospacing="1" w:after="100" w:afterAutospacing="1" w:line="240" w:lineRule="auto"/>
        <w:rPr>
          <w:rFonts w:eastAsia="Times New Roman" w:cstheme="minorHAnsi"/>
          <w:b/>
          <w:bCs/>
          <w:sz w:val="28"/>
          <w:szCs w:val="28"/>
          <w:lang w:eastAsia="fi-FI"/>
        </w:rPr>
      </w:pPr>
      <w:r w:rsidRPr="00E02DB3">
        <w:rPr>
          <w:rFonts w:eastAsia="Times New Roman" w:cstheme="minorHAnsi"/>
          <w:b/>
          <w:bCs/>
          <w:sz w:val="28"/>
          <w:szCs w:val="28"/>
          <w:lang w:eastAsia="fi-FI"/>
        </w:rPr>
        <w:lastRenderedPageBreak/>
        <w:t>Opiskeltavat sisällöt</w:t>
      </w:r>
    </w:p>
    <w:p w14:paraId="78B8461B" w14:textId="4CE09D54" w:rsidR="00FB6E79" w:rsidRDefault="00652739" w:rsidP="00EC5D8C">
      <w:pPr>
        <w:rPr>
          <w:rFonts w:cstheme="minorHAnsi"/>
          <w:u w:val="single"/>
        </w:rPr>
      </w:pPr>
      <w:r>
        <w:rPr>
          <w:rFonts w:cstheme="minorHAnsi"/>
          <w:u w:val="single"/>
        </w:rPr>
        <w:t xml:space="preserve">1) </w:t>
      </w:r>
      <w:r w:rsidR="00FB6E79" w:rsidRPr="00FB6E79">
        <w:rPr>
          <w:rFonts w:cstheme="minorHAnsi"/>
          <w:u w:val="single"/>
        </w:rPr>
        <w:t>Lisensoinnin perusteet</w:t>
      </w:r>
    </w:p>
    <w:p w14:paraId="5CFEA91E" w14:textId="33EA542B" w:rsidR="003C69AF" w:rsidRDefault="003C69AF" w:rsidP="003C69AF">
      <w:pPr>
        <w:rPr>
          <w:rFonts w:cstheme="minorHAnsi"/>
        </w:rPr>
      </w:pPr>
      <w:r w:rsidRPr="00652739">
        <w:rPr>
          <w:rFonts w:cstheme="minorHAnsi"/>
        </w:rPr>
        <w:t>Tässä alaosiossa käydään läpi lisensoinnin perusasiat.</w:t>
      </w:r>
    </w:p>
    <w:p w14:paraId="3FABC891" w14:textId="77777777" w:rsidR="00FE74BF" w:rsidRPr="00652739" w:rsidRDefault="00FE74BF" w:rsidP="003C69AF">
      <w:pPr>
        <w:rPr>
          <w:rFonts w:cstheme="minorHAnsi"/>
        </w:rPr>
      </w:pPr>
    </w:p>
    <w:p w14:paraId="60F8D2C1" w14:textId="77777777" w:rsidR="005E3E67" w:rsidRPr="005E3E67" w:rsidRDefault="005E3E67" w:rsidP="00652739">
      <w:pPr>
        <w:spacing w:after="120" w:line="240" w:lineRule="auto"/>
        <w:rPr>
          <w:rFonts w:eastAsia="Times New Roman" w:cstheme="minorHAnsi"/>
          <w:b/>
          <w:bCs/>
          <w:color w:val="333333"/>
          <w:lang w:eastAsia="fi-FI"/>
        </w:rPr>
      </w:pPr>
      <w:r w:rsidRPr="005E3E67">
        <w:rPr>
          <w:rFonts w:eastAsia="Times New Roman" w:cstheme="minorHAnsi"/>
          <w:b/>
          <w:bCs/>
          <w:color w:val="333333"/>
          <w:lang w:eastAsia="fi-FI"/>
        </w:rPr>
        <w:t>Mihin lisensointi perustuu ja miten se toimii?</w:t>
      </w:r>
    </w:p>
    <w:p w14:paraId="20A5A42C" w14:textId="5EF465F8" w:rsidR="00652739" w:rsidRPr="00652739" w:rsidRDefault="00652739" w:rsidP="00652739">
      <w:pPr>
        <w:spacing w:after="120" w:line="240" w:lineRule="auto"/>
        <w:rPr>
          <w:rFonts w:eastAsia="Times New Roman" w:cstheme="minorHAnsi"/>
          <w:color w:val="333333"/>
          <w:lang w:eastAsia="fi-FI"/>
        </w:rPr>
      </w:pPr>
      <w:r w:rsidRPr="00652739">
        <w:rPr>
          <w:rFonts w:eastAsia="Times New Roman" w:cstheme="minorHAnsi"/>
          <w:color w:val="333333"/>
          <w:lang w:eastAsia="fi-FI"/>
        </w:rPr>
        <w:t>Tekijänoikeus suojaa kaikkia luovan työn tuloksia, jotka katsotaan teoksiksi. Tekijänoikeus syntyy automaattisesti ja välittömästi samalla hetkellä, kun itse teos syntyy. Tekijänoikeuden muodostuminen ei riipu teoksen laadusta, käyttötarkoituksesta tai muodosta.</w:t>
      </w:r>
    </w:p>
    <w:p w14:paraId="0D97ED1A" w14:textId="77777777" w:rsidR="00652739" w:rsidRPr="00652739" w:rsidRDefault="00652739" w:rsidP="00652739">
      <w:pPr>
        <w:spacing w:after="120" w:line="240" w:lineRule="auto"/>
        <w:rPr>
          <w:rFonts w:eastAsia="Times New Roman" w:cstheme="minorHAnsi"/>
          <w:color w:val="333333"/>
          <w:lang w:eastAsia="fi-FI"/>
        </w:rPr>
      </w:pPr>
      <w:r w:rsidRPr="00652739">
        <w:rPr>
          <w:rFonts w:eastAsia="Times New Roman" w:cstheme="minorHAnsi"/>
          <w:color w:val="333333"/>
          <w:lang w:eastAsia="fi-FI"/>
        </w:rPr>
        <w:t>Luovan työn tulos on teos, jos se ylittää teoskynnyksen. Teoskynnyksen ylittyminen tarkoittaa luovan prosessin lopputuloksen riittävää omaperäisyyttä ja yksilöllisyyttä, jonka voi määritellä ns. kaksoisluomiskriteerin avulla. Jos arvioidaan, että joku muukin voisi päätyä samoista lähtökohdista täysin samaan lopputulokseen, kyseessä ei ole teos. Muissa tapauksissa on lähtökohtaisesti kyse uudesta tekijänoikeudella suojatusta teoksesta.</w:t>
      </w:r>
    </w:p>
    <w:p w14:paraId="186FAC01" w14:textId="77777777" w:rsidR="00652739" w:rsidRPr="00652739" w:rsidRDefault="00652739" w:rsidP="00652739">
      <w:pPr>
        <w:spacing w:after="120" w:line="240" w:lineRule="auto"/>
        <w:rPr>
          <w:rFonts w:eastAsia="Times New Roman" w:cstheme="minorHAnsi"/>
          <w:color w:val="333333"/>
          <w:lang w:eastAsia="fi-FI"/>
        </w:rPr>
      </w:pPr>
      <w:r w:rsidRPr="00652739">
        <w:rPr>
          <w:rFonts w:eastAsia="Times New Roman" w:cstheme="minorHAnsi"/>
          <w:color w:val="333333"/>
          <w:lang w:eastAsia="fi-FI"/>
        </w:rPr>
        <w:t>Teoskynnys on siis konseptina tulkinnanvarainen, eikä sen ylittyminen ole aina yksiselitteistä. Epäselvissä tilanteissa voi nojata tekijänoikeusneuvoston lausuntoihin tai viime kädessä tuomioistuinprosessiin. Toisaalta luomiaan sisältöjä voi lisensoida, vaikka ei olisikaan täysin varma teoskynnyksen ylittymisestä – varma täytyy olla vain siitä, ettei polje kenenkään muun oikeuksia niin tehdessään.</w:t>
      </w:r>
    </w:p>
    <w:p w14:paraId="0F2666A0" w14:textId="77777777" w:rsidR="00652739" w:rsidRPr="00652739" w:rsidRDefault="00652739" w:rsidP="00652739">
      <w:pPr>
        <w:spacing w:after="120" w:line="240" w:lineRule="auto"/>
        <w:rPr>
          <w:rFonts w:eastAsia="Times New Roman" w:cstheme="minorHAnsi"/>
          <w:color w:val="333333"/>
          <w:lang w:eastAsia="fi-FI"/>
        </w:rPr>
      </w:pPr>
      <w:r w:rsidRPr="00652739">
        <w:rPr>
          <w:rFonts w:eastAsia="Times New Roman" w:cstheme="minorHAnsi"/>
          <w:color w:val="333333"/>
          <w:lang w:eastAsia="fi-FI"/>
        </w:rPr>
        <w:t>Avoimessa lisensoinnissa ei ole kyse tekijänoikeudesta luopumisesta vaan hyödyntämisoikeuksien myöntämisestä myös muille. Näitä oikeuksia voivat olla esimerkiksi käyttäminen, muokkaaminen ja jakaminen. Oikeuksien myöntämisen voi tehdä vapaamuotoisesti, mutta olemassa olevien lisenssijärjestelmien käyttäminen tekee asian mahdollisimman läpinäkyväksi ja yksinkertaiseksi. Lisenssin tulee myös olla selkeästi näkyvissä materiaalin yhteydessä, parhaimmillaan sekä materiaalin olinpaikassa sekä materiaalissa itsessään.</w:t>
      </w:r>
    </w:p>
    <w:p w14:paraId="4F3BCDCF" w14:textId="1C0B9F73" w:rsidR="00652739" w:rsidRDefault="00652739" w:rsidP="00652739">
      <w:pPr>
        <w:spacing w:after="120" w:line="240" w:lineRule="auto"/>
        <w:rPr>
          <w:rFonts w:eastAsia="Times New Roman" w:cstheme="minorHAnsi"/>
          <w:color w:val="333333"/>
          <w:lang w:eastAsia="fi-FI"/>
        </w:rPr>
      </w:pPr>
      <w:r w:rsidRPr="00652739">
        <w:rPr>
          <w:rFonts w:eastAsia="Times New Roman" w:cstheme="minorHAnsi"/>
          <w:color w:val="333333"/>
          <w:lang w:eastAsia="fi-FI"/>
        </w:rPr>
        <w:t>Yksi sisältötyyppi, joka muodostaa merkittävän poikkeuksen avoimen lisensoinnin kontekstissa, on ohjelmistojen lähdekoodi. Tähän syynä ovat mm. ohjelmistokehityksen kulttuuri ja suurten ohjelmistokehittäjien taloudelliset intressit, vaikka koodi sinänsä voidaan usein tapauskohtaisesti katsoa tarpeeksi omaperäiseksi ylittääkseen teoskynnyksen ja siten kuuluvan tekijänoikeuden piiriin. Koodille on joka tapauksessa olemassa omat lisenssinsä. Toinen poikkeus ovat tietokannat.</w:t>
      </w:r>
    </w:p>
    <w:p w14:paraId="1403C217" w14:textId="77777777" w:rsidR="00FE74BF" w:rsidRPr="00652739" w:rsidRDefault="00FE74BF" w:rsidP="00652739">
      <w:pPr>
        <w:spacing w:after="120" w:line="240" w:lineRule="auto"/>
        <w:rPr>
          <w:rFonts w:eastAsia="Times New Roman" w:cstheme="minorHAnsi"/>
          <w:color w:val="333333"/>
          <w:lang w:eastAsia="fi-FI"/>
        </w:rPr>
      </w:pPr>
    </w:p>
    <w:p w14:paraId="4BF80E38" w14:textId="77777777" w:rsidR="00652739" w:rsidRPr="00652739" w:rsidRDefault="00652739" w:rsidP="00652739">
      <w:pPr>
        <w:spacing w:after="120" w:line="240" w:lineRule="auto"/>
        <w:rPr>
          <w:rFonts w:eastAsia="Times New Roman" w:cstheme="minorHAnsi"/>
          <w:color w:val="333333"/>
          <w:lang w:eastAsia="fi-FI"/>
        </w:rPr>
      </w:pPr>
      <w:r w:rsidRPr="00652739">
        <w:rPr>
          <w:rFonts w:eastAsia="Times New Roman" w:cstheme="minorHAnsi"/>
          <w:b/>
          <w:bCs/>
          <w:color w:val="333333"/>
          <w:lang w:eastAsia="fi-FI"/>
        </w:rPr>
        <w:t>Tutustuttava materiaali</w:t>
      </w:r>
    </w:p>
    <w:p w14:paraId="537FDC17" w14:textId="058F80EF" w:rsidR="00652739" w:rsidRPr="00D56ED3" w:rsidRDefault="00652739" w:rsidP="00D56ED3">
      <w:pPr>
        <w:pStyle w:val="ListParagraph"/>
        <w:numPr>
          <w:ilvl w:val="0"/>
          <w:numId w:val="10"/>
        </w:numPr>
        <w:spacing w:after="120" w:line="240" w:lineRule="auto"/>
        <w:rPr>
          <w:rFonts w:eastAsia="Times New Roman" w:cstheme="minorHAnsi"/>
          <w:color w:val="333333"/>
          <w:lang w:eastAsia="fi-FI"/>
        </w:rPr>
      </w:pPr>
      <w:r w:rsidRPr="00D56ED3">
        <w:rPr>
          <w:rFonts w:eastAsia="Times New Roman" w:cstheme="minorHAnsi"/>
          <w:color w:val="333333"/>
          <w:lang w:eastAsia="fi-FI"/>
        </w:rPr>
        <w:t>Miten tekijänoikeus syntyy? </w:t>
      </w:r>
      <w:hyperlink r:id="rId14" w:tgtFrame="_blank" w:history="1">
        <w:r w:rsidRPr="00D56ED3">
          <w:rPr>
            <w:rFonts w:eastAsia="Times New Roman" w:cstheme="minorHAnsi"/>
            <w:color w:val="0055B0"/>
            <w:u w:val="single"/>
            <w:lang w:eastAsia="fi-FI"/>
          </w:rPr>
          <w:t>https://tekijanoikeus.fi/tekijanoikeus/syntyminen/</w:t>
        </w:r>
      </w:hyperlink>
    </w:p>
    <w:p w14:paraId="74C9DFD1" w14:textId="59BC5768" w:rsidR="00652739" w:rsidRPr="00D56ED3" w:rsidRDefault="00652739" w:rsidP="00D56ED3">
      <w:pPr>
        <w:pStyle w:val="ListParagraph"/>
        <w:numPr>
          <w:ilvl w:val="0"/>
          <w:numId w:val="10"/>
        </w:numPr>
        <w:spacing w:after="120" w:line="240" w:lineRule="auto"/>
        <w:rPr>
          <w:rFonts w:eastAsia="Times New Roman" w:cstheme="minorHAnsi"/>
          <w:color w:val="333333"/>
          <w:lang w:eastAsia="fi-FI"/>
        </w:rPr>
      </w:pPr>
      <w:r w:rsidRPr="00D56ED3">
        <w:rPr>
          <w:rFonts w:eastAsia="Times New Roman" w:cstheme="minorHAnsi"/>
          <w:color w:val="333333"/>
          <w:lang w:eastAsia="fi-FI"/>
        </w:rPr>
        <w:t>Ohje tekijänoikeuksiin liittyvästä avoimesta lisensoinnista tutkijoille ja tieteellisille kustantajille:</w:t>
      </w:r>
    </w:p>
    <w:p w14:paraId="7F9C3B59" w14:textId="77777777" w:rsidR="00652739" w:rsidRPr="00D56ED3" w:rsidRDefault="00652739" w:rsidP="00D56ED3">
      <w:pPr>
        <w:pStyle w:val="ListParagraph"/>
        <w:numPr>
          <w:ilvl w:val="0"/>
          <w:numId w:val="10"/>
        </w:numPr>
        <w:spacing w:after="120" w:line="240" w:lineRule="auto"/>
        <w:rPr>
          <w:rFonts w:eastAsia="Times New Roman" w:cstheme="minorHAnsi"/>
          <w:color w:val="333333"/>
          <w:lang w:eastAsia="fi-FI"/>
        </w:rPr>
      </w:pPr>
      <w:hyperlink r:id="rId15" w:tgtFrame="_blank" w:history="1">
        <w:r w:rsidRPr="00D56ED3">
          <w:rPr>
            <w:rFonts w:eastAsia="Times New Roman" w:cstheme="minorHAnsi"/>
            <w:color w:val="0055B0"/>
            <w:u w:val="single"/>
            <w:lang w:eastAsia="fi-FI"/>
          </w:rPr>
          <w:t>https://avointiede.fi/sites/default/files/2020-06/lisenssiohjeB_0.pdf</w:t>
        </w:r>
      </w:hyperlink>
    </w:p>
    <w:p w14:paraId="6C705657" w14:textId="77777777" w:rsidR="00652739" w:rsidRPr="00D56ED3" w:rsidRDefault="00652739" w:rsidP="00D56ED3">
      <w:pPr>
        <w:pStyle w:val="ListParagraph"/>
        <w:numPr>
          <w:ilvl w:val="0"/>
          <w:numId w:val="10"/>
        </w:numPr>
        <w:spacing w:after="120" w:line="240" w:lineRule="auto"/>
        <w:rPr>
          <w:rFonts w:eastAsia="Times New Roman" w:cstheme="minorHAnsi"/>
          <w:color w:val="333333"/>
          <w:lang w:eastAsia="fi-FI"/>
        </w:rPr>
      </w:pPr>
      <w:r w:rsidRPr="00D56ED3">
        <w:rPr>
          <w:rFonts w:eastAsia="Times New Roman" w:cstheme="minorHAnsi"/>
          <w:color w:val="333333"/>
          <w:lang w:eastAsia="fi-FI"/>
        </w:rPr>
        <w:t>Osio “Creative Commons” Turun ammattikorkeakoulun tiedonhankinnan oppaasta: </w:t>
      </w:r>
      <w:hyperlink r:id="rId16" w:tgtFrame="_blank" w:history="1">
        <w:r w:rsidRPr="00D56ED3">
          <w:rPr>
            <w:rFonts w:eastAsia="Times New Roman" w:cstheme="minorHAnsi"/>
            <w:color w:val="0055B0"/>
            <w:u w:val="single"/>
            <w:lang w:eastAsia="fi-FI"/>
          </w:rPr>
          <w:t>https://libguides.turkuamk.fi/tiedonhankinnanopas/tiedoneettinenkaytto</w:t>
        </w:r>
      </w:hyperlink>
    </w:p>
    <w:p w14:paraId="7518E164" w14:textId="09217262" w:rsidR="00652739" w:rsidRPr="00D56ED3" w:rsidRDefault="00652739" w:rsidP="00D56ED3">
      <w:pPr>
        <w:pStyle w:val="ListParagraph"/>
        <w:numPr>
          <w:ilvl w:val="0"/>
          <w:numId w:val="10"/>
        </w:numPr>
        <w:spacing w:after="120" w:line="240" w:lineRule="auto"/>
        <w:rPr>
          <w:rFonts w:eastAsia="Times New Roman" w:cstheme="minorHAnsi"/>
          <w:color w:val="333333"/>
          <w:lang w:eastAsia="fi-FI"/>
        </w:rPr>
      </w:pPr>
      <w:r w:rsidRPr="00D56ED3">
        <w:rPr>
          <w:rFonts w:eastAsia="Times New Roman" w:cstheme="minorHAnsi"/>
          <w:color w:val="333333"/>
          <w:lang w:eastAsia="fi-FI"/>
        </w:rPr>
        <w:t xml:space="preserve">Avoin sisältö - Käytännön opas Creative Commons -lisenssien käyttämiseen, sivut </w:t>
      </w:r>
      <w:proofErr w:type="gramStart"/>
      <w:r w:rsidRPr="00D56ED3">
        <w:rPr>
          <w:rFonts w:eastAsia="Times New Roman" w:cstheme="minorHAnsi"/>
          <w:color w:val="333333"/>
          <w:lang w:eastAsia="fi-FI"/>
        </w:rPr>
        <w:t>7-26</w:t>
      </w:r>
      <w:proofErr w:type="gramEnd"/>
      <w:r w:rsidRPr="00D56ED3">
        <w:rPr>
          <w:rFonts w:eastAsia="Times New Roman" w:cstheme="minorHAnsi"/>
          <w:color w:val="333333"/>
          <w:lang w:eastAsia="fi-FI"/>
        </w:rPr>
        <w:t>:</w:t>
      </w:r>
      <w:r w:rsidR="00D56ED3" w:rsidRPr="00D56ED3">
        <w:rPr>
          <w:rFonts w:eastAsia="Times New Roman" w:cstheme="minorHAnsi"/>
          <w:color w:val="333333"/>
          <w:lang w:eastAsia="fi-FI"/>
        </w:rPr>
        <w:t xml:space="preserve"> </w:t>
      </w:r>
      <w:hyperlink r:id="rId17" w:history="1">
        <w:r w:rsidR="00D56ED3" w:rsidRPr="00D56ED3">
          <w:rPr>
            <w:rStyle w:val="Hyperlink"/>
            <w:rFonts w:eastAsia="Times New Roman" w:cstheme="minorHAnsi"/>
            <w:lang w:eastAsia="fi-FI"/>
          </w:rPr>
          <w:t>https://upload.wikimedia.org/wikipedia/commons/a/a5/Avoin_sis%C3%A4lt%C3%B6_-_K%C3%A4yt%C3%A4nn%C3%B6n_opas_Creative_Commons_-lisenssien_k%C3%A4ytt%C3%A4miseen.pdf</w:t>
        </w:r>
      </w:hyperlink>
    </w:p>
    <w:p w14:paraId="568B9E08" w14:textId="77777777" w:rsidR="00652739" w:rsidRPr="00D56ED3" w:rsidRDefault="00652739" w:rsidP="00D56ED3">
      <w:pPr>
        <w:pStyle w:val="ListParagraph"/>
        <w:numPr>
          <w:ilvl w:val="0"/>
          <w:numId w:val="10"/>
        </w:numPr>
        <w:spacing w:after="120" w:line="240" w:lineRule="auto"/>
        <w:rPr>
          <w:rFonts w:eastAsia="Times New Roman" w:cstheme="minorHAnsi"/>
          <w:color w:val="333333"/>
          <w:lang w:eastAsia="fi-FI"/>
        </w:rPr>
      </w:pPr>
      <w:r w:rsidRPr="00D56ED3">
        <w:rPr>
          <w:rFonts w:eastAsia="Times New Roman" w:cstheme="minorHAnsi"/>
          <w:color w:val="333333"/>
          <w:lang w:eastAsia="fi-FI"/>
        </w:rPr>
        <w:t>Avoimen lähdekoodin lisenssit: </w:t>
      </w:r>
      <w:hyperlink r:id="rId18" w:tgtFrame="_blank" w:history="1">
        <w:r w:rsidRPr="00D56ED3">
          <w:rPr>
            <w:rFonts w:eastAsia="Times New Roman" w:cstheme="minorHAnsi"/>
            <w:color w:val="0055B0"/>
            <w:u w:val="single"/>
            <w:lang w:eastAsia="fi-FI"/>
          </w:rPr>
          <w:t>https://opensource.org/licenses</w:t>
        </w:r>
      </w:hyperlink>
      <w:r w:rsidRPr="00D56ED3">
        <w:rPr>
          <w:rFonts w:eastAsia="Times New Roman" w:cstheme="minorHAnsi"/>
          <w:color w:val="333333"/>
          <w:lang w:eastAsia="fi-FI"/>
        </w:rPr>
        <w:t> / </w:t>
      </w:r>
      <w:hyperlink r:id="rId19" w:tgtFrame="_blank" w:history="1">
        <w:r w:rsidRPr="00D56ED3">
          <w:rPr>
            <w:rFonts w:eastAsia="Times New Roman" w:cstheme="minorHAnsi"/>
            <w:color w:val="0055B0"/>
            <w:u w:val="single"/>
            <w:lang w:eastAsia="fi-FI"/>
          </w:rPr>
          <w:t>https://opensource.org/osd-annotated</w:t>
        </w:r>
      </w:hyperlink>
    </w:p>
    <w:p w14:paraId="6F08D2C7" w14:textId="77777777" w:rsidR="00652739" w:rsidRPr="00D56ED3" w:rsidRDefault="00652739" w:rsidP="00D56ED3">
      <w:pPr>
        <w:pStyle w:val="ListParagraph"/>
        <w:numPr>
          <w:ilvl w:val="0"/>
          <w:numId w:val="10"/>
        </w:numPr>
        <w:spacing w:after="120" w:line="240" w:lineRule="auto"/>
        <w:rPr>
          <w:rFonts w:eastAsia="Times New Roman" w:cstheme="minorHAnsi"/>
          <w:color w:val="333333"/>
          <w:lang w:eastAsia="fi-FI"/>
        </w:rPr>
      </w:pPr>
      <w:r w:rsidRPr="00D56ED3">
        <w:rPr>
          <w:rFonts w:eastAsia="Times New Roman" w:cstheme="minorHAnsi"/>
          <w:color w:val="333333"/>
          <w:lang w:eastAsia="fi-FI"/>
        </w:rPr>
        <w:t>Tietokantojen lisenssit: </w:t>
      </w:r>
      <w:hyperlink r:id="rId20" w:tgtFrame="_blank" w:history="1">
        <w:r w:rsidRPr="00D56ED3">
          <w:rPr>
            <w:rFonts w:eastAsia="Times New Roman" w:cstheme="minorHAnsi"/>
            <w:color w:val="0055B0"/>
            <w:u w:val="single"/>
            <w:shd w:val="clear" w:color="auto" w:fill="FFFFFF"/>
            <w:lang w:eastAsia="fi-FI"/>
          </w:rPr>
          <w:t>https://opendatacommons.org/faq/licenses/</w:t>
        </w:r>
      </w:hyperlink>
    </w:p>
    <w:p w14:paraId="3477BE62" w14:textId="7C960CE8" w:rsidR="00652739" w:rsidRPr="00D56ED3" w:rsidRDefault="00652739" w:rsidP="00D56ED3">
      <w:pPr>
        <w:pStyle w:val="ListParagraph"/>
        <w:numPr>
          <w:ilvl w:val="0"/>
          <w:numId w:val="10"/>
        </w:numPr>
        <w:spacing w:after="120" w:line="240" w:lineRule="auto"/>
        <w:rPr>
          <w:rFonts w:eastAsia="Times New Roman" w:cstheme="minorHAnsi"/>
          <w:color w:val="333333"/>
          <w:lang w:eastAsia="fi-FI"/>
        </w:rPr>
      </w:pPr>
      <w:r w:rsidRPr="00D56ED3">
        <w:rPr>
          <w:rFonts w:eastAsia="Times New Roman" w:cstheme="minorHAnsi"/>
          <w:color w:val="333333"/>
          <w:lang w:eastAsia="fi-FI"/>
        </w:rPr>
        <w:t xml:space="preserve">Tutkimuseettisen neuvottelukunnan ”Hyvä tieteellinen käytäntö”, sivut </w:t>
      </w:r>
      <w:proofErr w:type="gramStart"/>
      <w:r w:rsidRPr="00D56ED3">
        <w:rPr>
          <w:rFonts w:eastAsia="Times New Roman" w:cstheme="minorHAnsi"/>
          <w:color w:val="333333"/>
          <w:lang w:eastAsia="fi-FI"/>
        </w:rPr>
        <w:t>4-7</w:t>
      </w:r>
      <w:proofErr w:type="gramEnd"/>
      <w:r w:rsidRPr="00D56ED3">
        <w:rPr>
          <w:rFonts w:eastAsia="Times New Roman" w:cstheme="minorHAnsi"/>
          <w:color w:val="333333"/>
          <w:lang w:eastAsia="fi-FI"/>
        </w:rPr>
        <w:t>:</w:t>
      </w:r>
      <w:r w:rsidR="00D56ED3">
        <w:rPr>
          <w:rFonts w:eastAsia="Times New Roman" w:cstheme="minorHAnsi"/>
          <w:color w:val="333333"/>
          <w:lang w:eastAsia="fi-FI"/>
        </w:rPr>
        <w:t xml:space="preserve"> </w:t>
      </w:r>
      <w:hyperlink r:id="rId21" w:history="1">
        <w:r w:rsidR="00FE74BF" w:rsidRPr="00B82FEB">
          <w:rPr>
            <w:rStyle w:val="Hyperlink"/>
            <w:rFonts w:eastAsia="Times New Roman" w:cstheme="minorHAnsi"/>
            <w:lang w:eastAsia="fi-FI"/>
          </w:rPr>
          <w:t>https://tenk.fi/sites/tenk.fi/files/HTK_ohje_2012.pdf</w:t>
        </w:r>
      </w:hyperlink>
      <w:r w:rsidRPr="00D56ED3">
        <w:rPr>
          <w:rFonts w:eastAsia="Times New Roman" w:cstheme="minorHAnsi"/>
          <w:color w:val="333333"/>
          <w:lang w:eastAsia="fi-FI"/>
        </w:rPr>
        <w:t>  </w:t>
      </w:r>
    </w:p>
    <w:p w14:paraId="3AF7DA54" w14:textId="77777777" w:rsidR="00E02DB3" w:rsidRPr="00652739" w:rsidRDefault="00E02DB3" w:rsidP="00652739">
      <w:pPr>
        <w:rPr>
          <w:rFonts w:cstheme="minorHAnsi"/>
        </w:rPr>
      </w:pPr>
    </w:p>
    <w:p w14:paraId="7A4F9CA5" w14:textId="386B7E19" w:rsidR="00FB6E79" w:rsidRPr="00652739" w:rsidRDefault="00652739" w:rsidP="00EC5D8C">
      <w:pPr>
        <w:rPr>
          <w:rFonts w:cstheme="minorHAnsi"/>
          <w:u w:val="single"/>
        </w:rPr>
      </w:pPr>
      <w:r>
        <w:rPr>
          <w:rFonts w:cstheme="minorHAnsi"/>
          <w:u w:val="single"/>
        </w:rPr>
        <w:t xml:space="preserve">2) </w:t>
      </w:r>
      <w:r w:rsidR="00FB6E79" w:rsidRPr="00652739">
        <w:rPr>
          <w:rFonts w:cstheme="minorHAnsi"/>
          <w:u w:val="single"/>
        </w:rPr>
        <w:t>CC-lisensointi</w:t>
      </w:r>
    </w:p>
    <w:p w14:paraId="276A9B68" w14:textId="78398C10" w:rsidR="00E02DB3" w:rsidRPr="00986629" w:rsidRDefault="003C69AF" w:rsidP="00EC5D8C">
      <w:pPr>
        <w:rPr>
          <w:rFonts w:cstheme="minorHAnsi"/>
        </w:rPr>
      </w:pPr>
      <w:r w:rsidRPr="00986629">
        <w:rPr>
          <w:rFonts w:cstheme="minorHAnsi"/>
        </w:rPr>
        <w:t>Täällä tutustut hieman tarkemmin Creative Commons -lisensointiin.</w:t>
      </w:r>
    </w:p>
    <w:p w14:paraId="7008B3E2" w14:textId="77777777" w:rsidR="00986629" w:rsidRDefault="00896911" w:rsidP="00896911">
      <w:pPr>
        <w:spacing w:after="120" w:line="240" w:lineRule="auto"/>
        <w:rPr>
          <w:rFonts w:eastAsia="Times New Roman" w:cstheme="minorHAnsi"/>
          <w:color w:val="333333"/>
          <w:lang w:eastAsia="fi-FI"/>
        </w:rPr>
      </w:pPr>
      <w:r w:rsidRPr="00896911">
        <w:rPr>
          <w:rFonts w:eastAsia="Times New Roman" w:cstheme="minorHAnsi"/>
          <w:color w:val="333333"/>
          <w:lang w:eastAsia="fi-FI"/>
        </w:rPr>
        <w:t>Creative Commons -lisenssijärjestelmä (CC) on maailman tunnetuin ja laajimmin käytetty avoimien lisenssien järjestelmä. Euroopan Unioni käyttää CC-lisensointia omissa palveluissaan ja sitä suositellaan käytettäväksi myös Suomen julkishallinnon avoimiin aineistoihin.</w:t>
      </w:r>
    </w:p>
    <w:p w14:paraId="0030616C" w14:textId="4BCC19DB" w:rsidR="00896911" w:rsidRPr="00986629" w:rsidRDefault="00896911" w:rsidP="00986629">
      <w:pPr>
        <w:pStyle w:val="ListParagraph"/>
        <w:numPr>
          <w:ilvl w:val="0"/>
          <w:numId w:val="11"/>
        </w:numPr>
        <w:spacing w:after="120" w:line="240" w:lineRule="auto"/>
        <w:rPr>
          <w:rFonts w:eastAsia="Times New Roman" w:cstheme="minorHAnsi"/>
          <w:color w:val="333333"/>
          <w:lang w:val="en-US" w:eastAsia="fi-FI"/>
        </w:rPr>
      </w:pPr>
      <w:r w:rsidRPr="00986629">
        <w:rPr>
          <w:rFonts w:eastAsia="Times New Roman" w:cstheme="minorHAnsi"/>
          <w:color w:val="333333"/>
          <w:lang w:val="en-US" w:eastAsia="fi-FI"/>
        </w:rPr>
        <w:t>Creative Commons: </w:t>
      </w:r>
      <w:hyperlink r:id="rId22" w:tgtFrame="_blank" w:history="1">
        <w:r w:rsidRPr="00986629">
          <w:rPr>
            <w:rFonts w:eastAsia="Times New Roman" w:cstheme="minorHAnsi"/>
            <w:color w:val="0055B0"/>
            <w:u w:val="single"/>
            <w:lang w:val="en-US" w:eastAsia="fi-FI"/>
          </w:rPr>
          <w:t>https://creativecommons.fi/</w:t>
        </w:r>
      </w:hyperlink>
    </w:p>
    <w:p w14:paraId="5B161FB5" w14:textId="77777777" w:rsidR="00896911" w:rsidRPr="00986629" w:rsidRDefault="00896911" w:rsidP="00986629">
      <w:pPr>
        <w:pStyle w:val="ListParagraph"/>
        <w:numPr>
          <w:ilvl w:val="0"/>
          <w:numId w:val="11"/>
        </w:numPr>
        <w:spacing w:after="120" w:line="240" w:lineRule="auto"/>
        <w:rPr>
          <w:rFonts w:eastAsia="Times New Roman" w:cstheme="minorHAnsi"/>
          <w:color w:val="333333"/>
          <w:lang w:val="en-US" w:eastAsia="fi-FI"/>
        </w:rPr>
      </w:pPr>
      <w:r w:rsidRPr="00986629">
        <w:rPr>
          <w:rFonts w:eastAsia="Times New Roman" w:cstheme="minorHAnsi"/>
          <w:color w:val="333333"/>
          <w:lang w:val="en-US" w:eastAsia="fi-FI"/>
        </w:rPr>
        <w:t>Creative Commons FAQ: </w:t>
      </w:r>
      <w:hyperlink r:id="rId23" w:tgtFrame="_blank" w:history="1">
        <w:r w:rsidRPr="00986629">
          <w:rPr>
            <w:rFonts w:eastAsia="Times New Roman" w:cstheme="minorHAnsi"/>
            <w:color w:val="0055B0"/>
            <w:u w:val="single"/>
            <w:lang w:val="en-US" w:eastAsia="fi-FI"/>
          </w:rPr>
          <w:t>https://creativecommons.org/faq/</w:t>
        </w:r>
      </w:hyperlink>
    </w:p>
    <w:p w14:paraId="764CCB81" w14:textId="77777777" w:rsidR="00E02DB3" w:rsidRPr="00986629" w:rsidRDefault="00E02DB3" w:rsidP="00896911">
      <w:pPr>
        <w:rPr>
          <w:rFonts w:cstheme="minorHAnsi"/>
          <w:lang w:val="en-US"/>
        </w:rPr>
      </w:pPr>
    </w:p>
    <w:p w14:paraId="33C03B6F" w14:textId="797F6D46" w:rsidR="00FB6E79" w:rsidRPr="00986629" w:rsidRDefault="00652739" w:rsidP="00223215">
      <w:pPr>
        <w:rPr>
          <w:rFonts w:cstheme="minorHAnsi"/>
          <w:u w:val="single"/>
        </w:rPr>
      </w:pPr>
      <w:r w:rsidRPr="00986629">
        <w:rPr>
          <w:rFonts w:cstheme="minorHAnsi"/>
          <w:u w:val="single"/>
        </w:rPr>
        <w:t xml:space="preserve">3) </w:t>
      </w:r>
      <w:r w:rsidR="00FB6E79" w:rsidRPr="00986629">
        <w:rPr>
          <w:rFonts w:cstheme="minorHAnsi"/>
          <w:u w:val="single"/>
        </w:rPr>
        <w:t>Lisensointi avoimen tieteen näkökulmasta</w:t>
      </w:r>
    </w:p>
    <w:p w14:paraId="09FBFBCA" w14:textId="22F71760" w:rsidR="00223215" w:rsidRDefault="00223215" w:rsidP="00C65ADF">
      <w:pPr>
        <w:spacing w:after="120" w:line="240" w:lineRule="auto"/>
        <w:rPr>
          <w:rFonts w:eastAsia="Times New Roman" w:cstheme="minorHAnsi"/>
          <w:color w:val="333333"/>
          <w:lang w:eastAsia="fi-FI"/>
        </w:rPr>
      </w:pPr>
      <w:r w:rsidRPr="00C65ADF">
        <w:rPr>
          <w:rFonts w:cstheme="minorHAnsi"/>
        </w:rPr>
        <w:t>Osiossa pureudutaan syvemmin lisensoinnin merkitykseen avoimen tieteen edistämisen näkökulmasta.</w:t>
      </w:r>
    </w:p>
    <w:p w14:paraId="2BA3A1B3" w14:textId="27ABEEFC" w:rsidR="00C65ADF" w:rsidRPr="00C65ADF" w:rsidRDefault="00C65ADF" w:rsidP="00C65ADF">
      <w:pPr>
        <w:spacing w:after="120" w:line="240" w:lineRule="auto"/>
        <w:rPr>
          <w:rFonts w:eastAsia="Times New Roman" w:cstheme="minorHAnsi"/>
          <w:color w:val="333333"/>
          <w:lang w:eastAsia="fi-FI"/>
        </w:rPr>
      </w:pPr>
      <w:r w:rsidRPr="00C65ADF">
        <w:rPr>
          <w:rFonts w:eastAsia="Times New Roman" w:cstheme="minorHAnsi"/>
          <w:color w:val="333333"/>
          <w:lang w:eastAsia="fi-FI"/>
        </w:rPr>
        <w:t>Avoimen tieteen (Open Science) tavoitteena on maksimoida tutkimus- ja kehitystoiminnan luoma hyöty. Tähän pyritään jakamalla toiminnan työskentelytapoja ja tuloksia mahdollisimman laajasti ja käyttäjäystävällisesti. Tämä koskee myös oman alan ulkopuolisia toimijoita ja maallikoja toimintasektorista huolimatta.</w:t>
      </w:r>
    </w:p>
    <w:p w14:paraId="09C6FA3C" w14:textId="0225A83A" w:rsidR="00C65ADF" w:rsidRPr="00C65ADF" w:rsidRDefault="00C65ADF" w:rsidP="00C65ADF">
      <w:pPr>
        <w:spacing w:after="120" w:line="240" w:lineRule="auto"/>
        <w:rPr>
          <w:rFonts w:eastAsia="Times New Roman" w:cstheme="minorHAnsi"/>
          <w:color w:val="333333"/>
          <w:lang w:eastAsia="fi-FI"/>
        </w:rPr>
      </w:pPr>
      <w:r w:rsidRPr="00C65ADF">
        <w:rPr>
          <w:rFonts w:eastAsia="Times New Roman" w:cstheme="minorHAnsi"/>
          <w:color w:val="333333"/>
          <w:lang w:eastAsia="fi-FI"/>
        </w:rPr>
        <w:t>Suomessa Avoimen tieteen julistuksen 2020–2025 ensimmäisen osa-alueen (toimintakulttuurin avoimuus) kannalta lisensointi voidaan helposti nähdä tärkeänä ja yleishyödyllisenä työkaluna, joka nimenomaan edistää tutkimus- ja kehitystoiminnan kulttuuria avoimempaan suuntaan. Käytännössä avoimien lisenssien merkitys avoimen tutkimus- ja kehittämisosaamisen kontekstissa kuitenkin kiteytyy kolmelle muulle osa-alueelle: avoin julkaiseminen, avoimet data-aineistot ja avoin oppiminen.</w:t>
      </w:r>
    </w:p>
    <w:p w14:paraId="317A7650" w14:textId="77777777" w:rsidR="00C65ADF" w:rsidRPr="00223215" w:rsidRDefault="00C65ADF" w:rsidP="00223215">
      <w:pPr>
        <w:pStyle w:val="ListParagraph"/>
        <w:numPr>
          <w:ilvl w:val="0"/>
          <w:numId w:val="12"/>
        </w:numPr>
        <w:spacing w:after="120" w:line="240" w:lineRule="auto"/>
        <w:rPr>
          <w:rFonts w:eastAsia="Times New Roman" w:cstheme="minorHAnsi"/>
          <w:color w:val="333333"/>
          <w:lang w:eastAsia="fi-FI"/>
        </w:rPr>
      </w:pPr>
      <w:r w:rsidRPr="00223215">
        <w:rPr>
          <w:rFonts w:eastAsia="Times New Roman" w:cstheme="minorHAnsi"/>
          <w:color w:val="333333"/>
          <w:lang w:eastAsia="fi-FI"/>
        </w:rPr>
        <w:t>Ohje avoimesta lisensoinnista tutkijoille ja tieteellisille julkaisijoille:</w:t>
      </w:r>
    </w:p>
    <w:p w14:paraId="42199C7A" w14:textId="77777777" w:rsidR="00C65ADF" w:rsidRPr="00223215" w:rsidRDefault="00C65ADF" w:rsidP="00223215">
      <w:pPr>
        <w:pStyle w:val="ListParagraph"/>
        <w:numPr>
          <w:ilvl w:val="0"/>
          <w:numId w:val="12"/>
        </w:numPr>
        <w:spacing w:after="120" w:line="240" w:lineRule="auto"/>
        <w:rPr>
          <w:rFonts w:eastAsia="Times New Roman" w:cstheme="minorHAnsi"/>
          <w:color w:val="333333"/>
          <w:lang w:eastAsia="fi-FI"/>
        </w:rPr>
      </w:pPr>
      <w:hyperlink r:id="rId24" w:tgtFrame="_blank" w:history="1">
        <w:r w:rsidRPr="00223215">
          <w:rPr>
            <w:rFonts w:eastAsia="Times New Roman" w:cstheme="minorHAnsi"/>
            <w:color w:val="0055B0"/>
            <w:u w:val="single"/>
            <w:shd w:val="clear" w:color="auto" w:fill="FFFFFF"/>
            <w:lang w:eastAsia="fi-FI"/>
          </w:rPr>
          <w:t>https://avointiede.fi/sites/default/files/2020-06/lisenssiohjeB_0.pdf</w:t>
        </w:r>
      </w:hyperlink>
    </w:p>
    <w:p w14:paraId="444048E4" w14:textId="5F6198CE" w:rsidR="00C65ADF" w:rsidRPr="00223215" w:rsidRDefault="00C65ADF" w:rsidP="00223215">
      <w:pPr>
        <w:pStyle w:val="ListParagraph"/>
        <w:numPr>
          <w:ilvl w:val="0"/>
          <w:numId w:val="12"/>
        </w:numPr>
        <w:spacing w:after="120" w:line="240" w:lineRule="auto"/>
        <w:rPr>
          <w:rFonts w:eastAsia="Times New Roman" w:cstheme="minorHAnsi"/>
          <w:color w:val="333333"/>
          <w:lang w:eastAsia="fi-FI"/>
        </w:rPr>
      </w:pPr>
      <w:r w:rsidRPr="00223215">
        <w:rPr>
          <w:rFonts w:eastAsia="Times New Roman" w:cstheme="minorHAnsi"/>
          <w:color w:val="333333"/>
          <w:lang w:eastAsia="fi-FI"/>
        </w:rPr>
        <w:t>Digital Curation Centren datan lisensoinnin opas</w:t>
      </w:r>
      <w:r w:rsidR="00223215" w:rsidRPr="00223215">
        <w:rPr>
          <w:rFonts w:eastAsia="Times New Roman" w:cstheme="minorHAnsi"/>
          <w:color w:val="333333"/>
          <w:lang w:eastAsia="fi-FI"/>
        </w:rPr>
        <w:t xml:space="preserve"> </w:t>
      </w:r>
      <w:r w:rsidR="00223215" w:rsidRPr="00223215">
        <w:rPr>
          <w:rFonts w:eastAsia="Times New Roman" w:cstheme="minorHAnsi"/>
          <w:color w:val="333333"/>
          <w:lang w:eastAsia="fi-FI"/>
        </w:rPr>
        <w:t>(</w:t>
      </w:r>
      <w:r w:rsidR="00223215" w:rsidRPr="00223215">
        <w:rPr>
          <w:rFonts w:eastAsia="Times New Roman" w:cstheme="minorHAnsi"/>
          <w:color w:val="333333"/>
          <w:lang w:eastAsia="fi-FI"/>
        </w:rPr>
        <w:t>s</w:t>
      </w:r>
      <w:r w:rsidR="00223215" w:rsidRPr="00223215">
        <w:rPr>
          <w:rFonts w:eastAsia="Times New Roman" w:cstheme="minorHAnsi"/>
          <w:color w:val="333333"/>
          <w:lang w:eastAsia="fi-FI"/>
        </w:rPr>
        <w:t xml:space="preserve">ivut </w:t>
      </w:r>
      <w:proofErr w:type="gramStart"/>
      <w:r w:rsidR="00223215" w:rsidRPr="00223215">
        <w:rPr>
          <w:rFonts w:eastAsia="Times New Roman" w:cstheme="minorHAnsi"/>
          <w:color w:val="333333"/>
          <w:lang w:eastAsia="fi-FI"/>
        </w:rPr>
        <w:t>1-3</w:t>
      </w:r>
      <w:proofErr w:type="gramEnd"/>
      <w:r w:rsidR="00223215" w:rsidRPr="00223215">
        <w:rPr>
          <w:rFonts w:eastAsia="Times New Roman" w:cstheme="minorHAnsi"/>
          <w:color w:val="333333"/>
          <w:lang w:eastAsia="fi-FI"/>
        </w:rPr>
        <w:t>)</w:t>
      </w:r>
      <w:r w:rsidR="00223215" w:rsidRPr="00223215">
        <w:rPr>
          <w:rFonts w:eastAsia="Times New Roman" w:cstheme="minorHAnsi"/>
          <w:color w:val="333333"/>
          <w:lang w:eastAsia="fi-FI"/>
        </w:rPr>
        <w:t>:</w:t>
      </w:r>
    </w:p>
    <w:p w14:paraId="71391A15" w14:textId="77777777" w:rsidR="00C65ADF" w:rsidRPr="00223215" w:rsidRDefault="00C65ADF" w:rsidP="00223215">
      <w:pPr>
        <w:pStyle w:val="ListParagraph"/>
        <w:numPr>
          <w:ilvl w:val="0"/>
          <w:numId w:val="12"/>
        </w:numPr>
        <w:spacing w:after="120" w:line="240" w:lineRule="auto"/>
        <w:rPr>
          <w:rFonts w:eastAsia="Times New Roman" w:cstheme="minorHAnsi"/>
          <w:color w:val="333333"/>
          <w:lang w:eastAsia="fi-FI"/>
        </w:rPr>
      </w:pPr>
      <w:hyperlink r:id="rId25" w:tgtFrame="_blank" w:history="1">
        <w:r w:rsidRPr="00223215">
          <w:rPr>
            <w:rFonts w:eastAsia="Times New Roman" w:cstheme="minorHAnsi"/>
            <w:color w:val="0055B0"/>
            <w:u w:val="single"/>
            <w:lang w:eastAsia="fi-FI"/>
          </w:rPr>
          <w:t>https://www.dcc.ac.uk/sites/default/files/documents/publications/reports/guides/How_To_License_Research_Data.pdf</w:t>
        </w:r>
      </w:hyperlink>
    </w:p>
    <w:p w14:paraId="5A39C065" w14:textId="5733880F" w:rsidR="00C65ADF" w:rsidRPr="00223215" w:rsidRDefault="00C65ADF" w:rsidP="00223215">
      <w:pPr>
        <w:pStyle w:val="ListParagraph"/>
        <w:numPr>
          <w:ilvl w:val="0"/>
          <w:numId w:val="12"/>
        </w:numPr>
        <w:spacing w:after="120" w:line="240" w:lineRule="auto"/>
        <w:rPr>
          <w:rFonts w:eastAsia="Times New Roman" w:cstheme="minorHAnsi"/>
          <w:color w:val="333333"/>
          <w:lang w:val="en-US" w:eastAsia="fi-FI"/>
        </w:rPr>
      </w:pPr>
      <w:r w:rsidRPr="00223215">
        <w:rPr>
          <w:rFonts w:eastAsia="Times New Roman" w:cstheme="minorHAnsi"/>
          <w:color w:val="333333"/>
          <w:lang w:val="en-US" w:eastAsia="fi-FI"/>
        </w:rPr>
        <w:t>Year of Open -teemavuoden oppimateriaalinäkökulma: </w:t>
      </w:r>
      <w:hyperlink r:id="rId26" w:tgtFrame="_blank" w:history="1">
        <w:r w:rsidRPr="00223215">
          <w:rPr>
            <w:rFonts w:eastAsia="Times New Roman" w:cstheme="minorHAnsi"/>
            <w:color w:val="0055B0"/>
            <w:u w:val="single"/>
            <w:lang w:val="en-US" w:eastAsia="fi-FI"/>
          </w:rPr>
          <w:t>https://www.yearofopen.org/article/open-licensing/</w:t>
        </w:r>
      </w:hyperlink>
    </w:p>
    <w:p w14:paraId="4B43A030" w14:textId="7496C392" w:rsidR="00E02DB3" w:rsidRPr="001737B3" w:rsidRDefault="00E02DB3" w:rsidP="00C65ADF">
      <w:pPr>
        <w:shd w:val="clear" w:color="auto" w:fill="FFFFFF"/>
        <w:spacing w:after="120" w:line="240" w:lineRule="auto"/>
        <w:ind w:left="142"/>
        <w:rPr>
          <w:rFonts w:eastAsia="Times New Roman" w:cstheme="minorHAnsi"/>
          <w:color w:val="333333"/>
          <w:lang w:val="en-US" w:eastAsia="fi-FI"/>
        </w:rPr>
      </w:pPr>
    </w:p>
    <w:p w14:paraId="73DA5ED5" w14:textId="77777777" w:rsidR="001737B3" w:rsidRPr="00C65ADF" w:rsidRDefault="001737B3" w:rsidP="003B6031">
      <w:pPr>
        <w:rPr>
          <w:rFonts w:cstheme="minorHAnsi"/>
          <w:lang w:val="en-US"/>
        </w:rPr>
      </w:pPr>
    </w:p>
    <w:sectPr w:rsidR="001737B3" w:rsidRPr="00C65AD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5C3F"/>
    <w:multiLevelType w:val="multilevel"/>
    <w:tmpl w:val="D8C0D9E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E95CE9"/>
    <w:multiLevelType w:val="hybridMultilevel"/>
    <w:tmpl w:val="23EA0F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EE07E61"/>
    <w:multiLevelType w:val="hybridMultilevel"/>
    <w:tmpl w:val="663EBD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FE47445"/>
    <w:multiLevelType w:val="multilevel"/>
    <w:tmpl w:val="8BBC4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810C6F"/>
    <w:multiLevelType w:val="multilevel"/>
    <w:tmpl w:val="7900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7B0331"/>
    <w:multiLevelType w:val="multilevel"/>
    <w:tmpl w:val="32EAA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2603E3"/>
    <w:multiLevelType w:val="hybridMultilevel"/>
    <w:tmpl w:val="848EA5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FA63A5B"/>
    <w:multiLevelType w:val="hybridMultilevel"/>
    <w:tmpl w:val="2F763C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ADE13E5"/>
    <w:multiLevelType w:val="multilevel"/>
    <w:tmpl w:val="CEA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C72C61"/>
    <w:multiLevelType w:val="hybridMultilevel"/>
    <w:tmpl w:val="8F88D312"/>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0" w15:restartNumberingAfterBreak="0">
    <w:nsid w:val="714E0B3E"/>
    <w:multiLevelType w:val="hybridMultilevel"/>
    <w:tmpl w:val="BE06A0FE"/>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1" w15:restartNumberingAfterBreak="0">
    <w:nsid w:val="766145E6"/>
    <w:multiLevelType w:val="hybridMultilevel"/>
    <w:tmpl w:val="72187BAC"/>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11"/>
  </w:num>
  <w:num w:numId="6">
    <w:abstractNumId w:val="9"/>
  </w:num>
  <w:num w:numId="7">
    <w:abstractNumId w:val="10"/>
  </w:num>
  <w:num w:numId="8">
    <w:abstractNumId w:val="4"/>
  </w:num>
  <w:num w:numId="9">
    <w:abstractNumId w:val="3"/>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D8"/>
    <w:rsid w:val="00157D70"/>
    <w:rsid w:val="001737B3"/>
    <w:rsid w:val="002223AC"/>
    <w:rsid w:val="00223215"/>
    <w:rsid w:val="00265C37"/>
    <w:rsid w:val="003B6031"/>
    <w:rsid w:val="003C69AF"/>
    <w:rsid w:val="005E3E67"/>
    <w:rsid w:val="00652739"/>
    <w:rsid w:val="00896911"/>
    <w:rsid w:val="00986629"/>
    <w:rsid w:val="00A00324"/>
    <w:rsid w:val="00C65ADF"/>
    <w:rsid w:val="00CA1AD8"/>
    <w:rsid w:val="00D27495"/>
    <w:rsid w:val="00D56ED3"/>
    <w:rsid w:val="00E02DB3"/>
    <w:rsid w:val="00E92413"/>
    <w:rsid w:val="00EC5D8C"/>
    <w:rsid w:val="00F33C14"/>
    <w:rsid w:val="00FB6E79"/>
    <w:rsid w:val="00FE74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D7F6"/>
  <w15:chartTrackingRefBased/>
  <w15:docId w15:val="{6EA09A40-E3D7-487E-A1AF-77B7CD81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52739"/>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A1AD8"/>
    <w:rPr>
      <w:i/>
      <w:iCs/>
    </w:rPr>
  </w:style>
  <w:style w:type="paragraph" w:styleId="NormalWeb">
    <w:name w:val="Normal (Web)"/>
    <w:basedOn w:val="Normal"/>
    <w:uiPriority w:val="99"/>
    <w:semiHidden/>
    <w:unhideWhenUsed/>
    <w:rsid w:val="00CA1AD8"/>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istParagraph">
    <w:name w:val="List Paragraph"/>
    <w:basedOn w:val="Normal"/>
    <w:uiPriority w:val="34"/>
    <w:qFormat/>
    <w:rsid w:val="003B6031"/>
    <w:pPr>
      <w:ind w:left="720"/>
      <w:contextualSpacing/>
    </w:pPr>
  </w:style>
  <w:style w:type="character" w:styleId="Strong">
    <w:name w:val="Strong"/>
    <w:basedOn w:val="DefaultParagraphFont"/>
    <w:uiPriority w:val="22"/>
    <w:qFormat/>
    <w:rsid w:val="003B6031"/>
    <w:rPr>
      <w:b/>
      <w:bCs/>
    </w:rPr>
  </w:style>
  <w:style w:type="character" w:styleId="Hyperlink">
    <w:name w:val="Hyperlink"/>
    <w:basedOn w:val="DefaultParagraphFont"/>
    <w:uiPriority w:val="99"/>
    <w:unhideWhenUsed/>
    <w:rsid w:val="00157D70"/>
    <w:rPr>
      <w:color w:val="0000FF"/>
      <w:u w:val="single"/>
    </w:rPr>
  </w:style>
  <w:style w:type="character" w:customStyle="1" w:styleId="Heading2Char">
    <w:name w:val="Heading 2 Char"/>
    <w:basedOn w:val="DefaultParagraphFont"/>
    <w:link w:val="Heading2"/>
    <w:uiPriority w:val="9"/>
    <w:rsid w:val="00652739"/>
    <w:rPr>
      <w:rFonts w:ascii="Times New Roman" w:eastAsia="Times New Roman" w:hAnsi="Times New Roman" w:cs="Times New Roman"/>
      <w:b/>
      <w:bCs/>
      <w:sz w:val="36"/>
      <w:szCs w:val="36"/>
      <w:lang w:eastAsia="fi-FI"/>
    </w:rPr>
  </w:style>
  <w:style w:type="character" w:styleId="UnresolvedMention">
    <w:name w:val="Unresolved Mention"/>
    <w:basedOn w:val="DefaultParagraphFont"/>
    <w:uiPriority w:val="99"/>
    <w:semiHidden/>
    <w:unhideWhenUsed/>
    <w:rsid w:val="00D56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8549">
      <w:bodyDiv w:val="1"/>
      <w:marLeft w:val="0"/>
      <w:marRight w:val="0"/>
      <w:marTop w:val="0"/>
      <w:marBottom w:val="0"/>
      <w:divBdr>
        <w:top w:val="none" w:sz="0" w:space="0" w:color="auto"/>
        <w:left w:val="none" w:sz="0" w:space="0" w:color="auto"/>
        <w:bottom w:val="none" w:sz="0" w:space="0" w:color="auto"/>
        <w:right w:val="none" w:sz="0" w:space="0" w:color="auto"/>
      </w:divBdr>
    </w:div>
    <w:div w:id="463816294">
      <w:bodyDiv w:val="1"/>
      <w:marLeft w:val="0"/>
      <w:marRight w:val="0"/>
      <w:marTop w:val="0"/>
      <w:marBottom w:val="0"/>
      <w:divBdr>
        <w:top w:val="none" w:sz="0" w:space="0" w:color="auto"/>
        <w:left w:val="none" w:sz="0" w:space="0" w:color="auto"/>
        <w:bottom w:val="none" w:sz="0" w:space="0" w:color="auto"/>
        <w:right w:val="none" w:sz="0" w:space="0" w:color="auto"/>
      </w:divBdr>
    </w:div>
    <w:div w:id="517814735">
      <w:bodyDiv w:val="1"/>
      <w:marLeft w:val="0"/>
      <w:marRight w:val="0"/>
      <w:marTop w:val="0"/>
      <w:marBottom w:val="0"/>
      <w:divBdr>
        <w:top w:val="none" w:sz="0" w:space="0" w:color="auto"/>
        <w:left w:val="none" w:sz="0" w:space="0" w:color="auto"/>
        <w:bottom w:val="none" w:sz="0" w:space="0" w:color="auto"/>
        <w:right w:val="none" w:sz="0" w:space="0" w:color="auto"/>
      </w:divBdr>
    </w:div>
    <w:div w:id="873544560">
      <w:bodyDiv w:val="1"/>
      <w:marLeft w:val="0"/>
      <w:marRight w:val="0"/>
      <w:marTop w:val="0"/>
      <w:marBottom w:val="0"/>
      <w:divBdr>
        <w:top w:val="none" w:sz="0" w:space="0" w:color="auto"/>
        <w:left w:val="none" w:sz="0" w:space="0" w:color="auto"/>
        <w:bottom w:val="none" w:sz="0" w:space="0" w:color="auto"/>
        <w:right w:val="none" w:sz="0" w:space="0" w:color="auto"/>
      </w:divBdr>
    </w:div>
    <w:div w:id="1117137115">
      <w:bodyDiv w:val="1"/>
      <w:marLeft w:val="0"/>
      <w:marRight w:val="0"/>
      <w:marTop w:val="0"/>
      <w:marBottom w:val="0"/>
      <w:divBdr>
        <w:top w:val="none" w:sz="0" w:space="0" w:color="auto"/>
        <w:left w:val="none" w:sz="0" w:space="0" w:color="auto"/>
        <w:bottom w:val="none" w:sz="0" w:space="0" w:color="auto"/>
        <w:right w:val="none" w:sz="0" w:space="0" w:color="auto"/>
      </w:divBdr>
    </w:div>
    <w:div w:id="1323505145">
      <w:bodyDiv w:val="1"/>
      <w:marLeft w:val="0"/>
      <w:marRight w:val="0"/>
      <w:marTop w:val="0"/>
      <w:marBottom w:val="0"/>
      <w:divBdr>
        <w:top w:val="none" w:sz="0" w:space="0" w:color="auto"/>
        <w:left w:val="none" w:sz="0" w:space="0" w:color="auto"/>
        <w:bottom w:val="none" w:sz="0" w:space="0" w:color="auto"/>
        <w:right w:val="none" w:sz="0" w:space="0" w:color="auto"/>
      </w:divBdr>
      <w:divsChild>
        <w:div w:id="780759123">
          <w:marLeft w:val="0"/>
          <w:marRight w:val="0"/>
          <w:marTop w:val="0"/>
          <w:marBottom w:val="60"/>
          <w:divBdr>
            <w:top w:val="single" w:sz="48" w:space="0" w:color="8AC0DA"/>
            <w:left w:val="none" w:sz="0" w:space="0" w:color="auto"/>
            <w:bottom w:val="none" w:sz="0" w:space="0" w:color="auto"/>
            <w:right w:val="none" w:sz="0" w:space="0" w:color="auto"/>
          </w:divBdr>
          <w:divsChild>
            <w:div w:id="2110661739">
              <w:marLeft w:val="0"/>
              <w:marRight w:val="0"/>
              <w:marTop w:val="0"/>
              <w:marBottom w:val="0"/>
              <w:divBdr>
                <w:top w:val="none" w:sz="0" w:space="0" w:color="auto"/>
                <w:left w:val="none" w:sz="0" w:space="0" w:color="auto"/>
                <w:bottom w:val="none" w:sz="0" w:space="0" w:color="auto"/>
                <w:right w:val="none" w:sz="0" w:space="0" w:color="auto"/>
              </w:divBdr>
            </w:div>
          </w:divsChild>
        </w:div>
        <w:div w:id="1071848929">
          <w:marLeft w:val="0"/>
          <w:marRight w:val="0"/>
          <w:marTop w:val="0"/>
          <w:marBottom w:val="0"/>
          <w:divBdr>
            <w:top w:val="none" w:sz="0" w:space="0" w:color="auto"/>
            <w:left w:val="none" w:sz="0" w:space="0" w:color="auto"/>
            <w:bottom w:val="none" w:sz="0" w:space="0" w:color="auto"/>
            <w:right w:val="none" w:sz="0" w:space="0" w:color="auto"/>
          </w:divBdr>
        </w:div>
      </w:divsChild>
    </w:div>
    <w:div w:id="1499155712">
      <w:bodyDiv w:val="1"/>
      <w:marLeft w:val="0"/>
      <w:marRight w:val="0"/>
      <w:marTop w:val="0"/>
      <w:marBottom w:val="0"/>
      <w:divBdr>
        <w:top w:val="none" w:sz="0" w:space="0" w:color="auto"/>
        <w:left w:val="none" w:sz="0" w:space="0" w:color="auto"/>
        <w:bottom w:val="none" w:sz="0" w:space="0" w:color="auto"/>
        <w:right w:val="none" w:sz="0" w:space="0" w:color="auto"/>
      </w:divBdr>
    </w:div>
    <w:div w:id="1521964612">
      <w:bodyDiv w:val="1"/>
      <w:marLeft w:val="0"/>
      <w:marRight w:val="0"/>
      <w:marTop w:val="0"/>
      <w:marBottom w:val="0"/>
      <w:divBdr>
        <w:top w:val="none" w:sz="0" w:space="0" w:color="auto"/>
        <w:left w:val="none" w:sz="0" w:space="0" w:color="auto"/>
        <w:bottom w:val="none" w:sz="0" w:space="0" w:color="auto"/>
        <w:right w:val="none" w:sz="0" w:space="0" w:color="auto"/>
      </w:divBdr>
      <w:divsChild>
        <w:div w:id="708919323">
          <w:marLeft w:val="0"/>
          <w:marRight w:val="0"/>
          <w:marTop w:val="0"/>
          <w:marBottom w:val="60"/>
          <w:divBdr>
            <w:top w:val="single" w:sz="48" w:space="0" w:color="8AC0DA"/>
            <w:left w:val="none" w:sz="0" w:space="0" w:color="auto"/>
            <w:bottom w:val="none" w:sz="0" w:space="0" w:color="auto"/>
            <w:right w:val="none" w:sz="0" w:space="0" w:color="auto"/>
          </w:divBdr>
          <w:divsChild>
            <w:div w:id="856770516">
              <w:marLeft w:val="0"/>
              <w:marRight w:val="0"/>
              <w:marTop w:val="0"/>
              <w:marBottom w:val="0"/>
              <w:divBdr>
                <w:top w:val="none" w:sz="0" w:space="0" w:color="auto"/>
                <w:left w:val="none" w:sz="0" w:space="0" w:color="auto"/>
                <w:bottom w:val="none" w:sz="0" w:space="0" w:color="auto"/>
                <w:right w:val="none" w:sz="0" w:space="0" w:color="auto"/>
              </w:divBdr>
            </w:div>
          </w:divsChild>
        </w:div>
        <w:div w:id="1764491773">
          <w:marLeft w:val="0"/>
          <w:marRight w:val="0"/>
          <w:marTop w:val="0"/>
          <w:marBottom w:val="0"/>
          <w:divBdr>
            <w:top w:val="none" w:sz="0" w:space="0" w:color="auto"/>
            <w:left w:val="none" w:sz="0" w:space="0" w:color="auto"/>
            <w:bottom w:val="none" w:sz="0" w:space="0" w:color="auto"/>
            <w:right w:val="none" w:sz="0" w:space="0" w:color="auto"/>
          </w:divBdr>
        </w:div>
      </w:divsChild>
    </w:div>
    <w:div w:id="1749112889">
      <w:bodyDiv w:val="1"/>
      <w:marLeft w:val="0"/>
      <w:marRight w:val="0"/>
      <w:marTop w:val="0"/>
      <w:marBottom w:val="0"/>
      <w:divBdr>
        <w:top w:val="none" w:sz="0" w:space="0" w:color="auto"/>
        <w:left w:val="none" w:sz="0" w:space="0" w:color="auto"/>
        <w:bottom w:val="none" w:sz="0" w:space="0" w:color="auto"/>
        <w:right w:val="none" w:sz="0" w:space="0" w:color="auto"/>
      </w:divBdr>
    </w:div>
    <w:div w:id="1896506972">
      <w:bodyDiv w:val="1"/>
      <w:marLeft w:val="0"/>
      <w:marRight w:val="0"/>
      <w:marTop w:val="0"/>
      <w:marBottom w:val="0"/>
      <w:divBdr>
        <w:top w:val="none" w:sz="0" w:space="0" w:color="auto"/>
        <w:left w:val="none" w:sz="0" w:space="0" w:color="auto"/>
        <w:bottom w:val="none" w:sz="0" w:space="0" w:color="auto"/>
        <w:right w:val="none" w:sz="0" w:space="0" w:color="auto"/>
      </w:divBdr>
      <w:divsChild>
        <w:div w:id="178205826">
          <w:marLeft w:val="0"/>
          <w:marRight w:val="0"/>
          <w:marTop w:val="0"/>
          <w:marBottom w:val="60"/>
          <w:divBdr>
            <w:top w:val="single" w:sz="48" w:space="0" w:color="8AC0DA"/>
            <w:left w:val="none" w:sz="0" w:space="0" w:color="auto"/>
            <w:bottom w:val="none" w:sz="0" w:space="0" w:color="auto"/>
            <w:right w:val="none" w:sz="0" w:space="0" w:color="auto"/>
          </w:divBdr>
          <w:divsChild>
            <w:div w:id="816265450">
              <w:marLeft w:val="0"/>
              <w:marRight w:val="0"/>
              <w:marTop w:val="0"/>
              <w:marBottom w:val="0"/>
              <w:divBdr>
                <w:top w:val="none" w:sz="0" w:space="0" w:color="auto"/>
                <w:left w:val="none" w:sz="0" w:space="0" w:color="auto"/>
                <w:bottom w:val="none" w:sz="0" w:space="0" w:color="auto"/>
                <w:right w:val="none" w:sz="0" w:space="0" w:color="auto"/>
              </w:divBdr>
            </w:div>
          </w:divsChild>
        </w:div>
        <w:div w:id="39012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stuullinentiede.fi/fi/julkaiseminen/tekijanoikeudellinen-kasitys-eroaa-tieteen-etiikan-tekijyys-kasityksesta" TargetMode="External"/><Relationship Id="rId13" Type="http://schemas.openxmlformats.org/officeDocument/2006/relationships/hyperlink" Target="https://lakius.fi/salassapitosopimus-miten-tehda/" TargetMode="External"/><Relationship Id="rId18" Type="http://schemas.openxmlformats.org/officeDocument/2006/relationships/hyperlink" Target="https://opensource.org/licenses" TargetMode="External"/><Relationship Id="rId26" Type="http://schemas.openxmlformats.org/officeDocument/2006/relationships/hyperlink" Target="https://www.yearofopen.org/perspective/open-licensing/" TargetMode="External"/><Relationship Id="rId3" Type="http://schemas.openxmlformats.org/officeDocument/2006/relationships/settings" Target="settings.xml"/><Relationship Id="rId21" Type="http://schemas.openxmlformats.org/officeDocument/2006/relationships/hyperlink" Target="https://tenk.fi/sites/tenk.fi/files/HTK_ohje_2012.pdf" TargetMode="External"/><Relationship Id="rId7" Type="http://schemas.openxmlformats.org/officeDocument/2006/relationships/hyperlink" Target="https://blogs.helsinki.fi/thinkopen/tekijanoikeusdirektiivin-monet-seuraukset-tiedonlouhinnalle/" TargetMode="External"/><Relationship Id="rId12" Type="http://schemas.openxmlformats.org/officeDocument/2006/relationships/hyperlink" Target="https://media.sitra.fi/2017/02/27173700/raportti73-2.pdf" TargetMode="External"/><Relationship Id="rId17" Type="http://schemas.openxmlformats.org/officeDocument/2006/relationships/hyperlink" Target="https://upload.wikimedia.org/wikipedia/commons/a/a5/Avoin_sis%C3%A4lt%C3%B6_-_K%C3%A4yt%C3%A4nn%C3%B6n_opas_Creative_Commons_-lisenssien_k%C3%A4ytt%C3%A4miseen.pdf" TargetMode="External"/><Relationship Id="rId25" Type="http://schemas.openxmlformats.org/officeDocument/2006/relationships/hyperlink" Target="https://www.dcc.ac.uk/sites/default/files/documents/publications/reports/guides/How_To_License_Research_Data.pdf" TargetMode="External"/><Relationship Id="rId2" Type="http://schemas.openxmlformats.org/officeDocument/2006/relationships/styles" Target="styles.xml"/><Relationship Id="rId16" Type="http://schemas.openxmlformats.org/officeDocument/2006/relationships/hyperlink" Target="https://libguides.turkuamk.fi/tiedonhankinnanopas/tiedoneettinenkaytto" TargetMode="External"/><Relationship Id="rId20" Type="http://schemas.openxmlformats.org/officeDocument/2006/relationships/hyperlink" Target="https://opendatacommons.org/" TargetMode="External"/><Relationship Id="rId1" Type="http://schemas.openxmlformats.org/officeDocument/2006/relationships/numbering" Target="numbering.xml"/><Relationship Id="rId6" Type="http://schemas.openxmlformats.org/officeDocument/2006/relationships/hyperlink" Target="https://blogs.helsinki.fi/thinkopen/komission-avoimen-tieteen-suositukset/" TargetMode="External"/><Relationship Id="rId11" Type="http://schemas.openxmlformats.org/officeDocument/2006/relationships/hyperlink" Target="https://vastuullinentiede.fi/fi/jatkokaytto/sosiaali-ja-terveystiedon-toissijainen-kaytto-mika-muuttuu-uuden-lain-myota" TargetMode="External"/><Relationship Id="rId24" Type="http://schemas.openxmlformats.org/officeDocument/2006/relationships/hyperlink" Target="https://avointiede.fi/sites/default/files/2020-06/lisenssiohjeB_0.pdf" TargetMode="External"/><Relationship Id="rId5" Type="http://schemas.openxmlformats.org/officeDocument/2006/relationships/hyperlink" Target="https://doi.org/10.23847/isbn.9789525995237" TargetMode="External"/><Relationship Id="rId15" Type="http://schemas.openxmlformats.org/officeDocument/2006/relationships/hyperlink" Target="https://avointiede.fi/sites/default/files/2020-06/lisenssiohjeB_0.pdf" TargetMode="External"/><Relationship Id="rId23" Type="http://schemas.openxmlformats.org/officeDocument/2006/relationships/hyperlink" Target="https://creativecommons.org/faq/" TargetMode="External"/><Relationship Id="rId28" Type="http://schemas.openxmlformats.org/officeDocument/2006/relationships/theme" Target="theme/theme1.xml"/><Relationship Id="rId10" Type="http://schemas.openxmlformats.org/officeDocument/2006/relationships/hyperlink" Target="https://www.finlex.fi/fi/viranomaiset/tsv/2017/20170104" TargetMode="External"/><Relationship Id="rId19" Type="http://schemas.openxmlformats.org/officeDocument/2006/relationships/hyperlink" Target="https://opensource.org/osd-annotated" TargetMode="External"/><Relationship Id="rId4" Type="http://schemas.openxmlformats.org/officeDocument/2006/relationships/webSettings" Target="webSettings.xml"/><Relationship Id="rId9" Type="http://schemas.openxmlformats.org/officeDocument/2006/relationships/hyperlink" Target="https://tieteentermipankki.fi/wiki/Avoin_tiede:tiedonlouhinta" TargetMode="External"/><Relationship Id="rId14" Type="http://schemas.openxmlformats.org/officeDocument/2006/relationships/hyperlink" Target="https://tekijanoikeus.fi/tekijanoikeus/syntyminen/" TargetMode="External"/><Relationship Id="rId22" Type="http://schemas.openxmlformats.org/officeDocument/2006/relationships/hyperlink" Target="https://creativecommons.f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1697</Words>
  <Characters>13752</Characters>
  <Application>Microsoft Office Word</Application>
  <DocSecurity>0</DocSecurity>
  <Lines>114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Lehto Anttoni</dc:creator>
  <cp:keywords/>
  <dc:description/>
  <cp:lastModifiedBy>Lehto Anttoni</cp:lastModifiedBy>
  <cp:revision>18</cp:revision>
  <dcterms:created xsi:type="dcterms:W3CDTF">2021-06-24T12:09:00Z</dcterms:created>
  <dcterms:modified xsi:type="dcterms:W3CDTF">2021-06-24T13:08:00Z</dcterms:modified>
</cp:coreProperties>
</file>